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4381B0" w14:textId="74A14C91" w:rsidR="00BF5FF4" w:rsidRPr="00BA705E" w:rsidRDefault="00430B1A" w:rsidP="00BF5FF4">
      <w:pPr>
        <w:spacing w:before="254" w:after="120"/>
        <w:ind w:left="1134" w:right="57"/>
        <w:jc w:val="right"/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</w:pPr>
      <w:r w:rsidRPr="00BA705E"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t>4.</w:t>
      </w:r>
      <w:r w:rsidR="00E90195" w:rsidRPr="00BA705E"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="00BF5FF4" w:rsidRPr="00BA705E"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t>pielikums</w:t>
      </w:r>
      <w:proofErr w:type="spellEnd"/>
    </w:p>
    <w:p w14:paraId="34050184" w14:textId="702B62C5" w:rsidR="0091602B" w:rsidRPr="00BA705E" w:rsidRDefault="00C74818" w:rsidP="007C3761">
      <w:pPr>
        <w:jc w:val="center"/>
        <w:rPr>
          <w:sz w:val="24"/>
          <w:szCs w:val="24"/>
        </w:rPr>
      </w:pPr>
      <w:r w:rsidRPr="00BA705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BŪTISKAS PROBLĒMAS UN RISKI </w:t>
      </w:r>
      <w:r w:rsidR="009D7F1B">
        <w:rPr>
          <w:rFonts w:ascii="Times New Roman" w:eastAsia="Calibri" w:hAnsi="Times New Roman" w:cs="Times New Roman"/>
          <w:b/>
          <w:bCs/>
          <w:sz w:val="24"/>
          <w:szCs w:val="24"/>
        </w:rPr>
        <w:t>HP</w:t>
      </w:r>
      <w:r w:rsidRPr="00BA705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IEVIEŠANĀ </w:t>
      </w:r>
      <w:r w:rsidR="0070674D" w:rsidRPr="00BA705E">
        <w:rPr>
          <w:rFonts w:ascii="Times New Roman" w:eastAsia="Calibri" w:hAnsi="Times New Roman" w:cs="Times New Roman"/>
          <w:b/>
          <w:bCs/>
          <w:sz w:val="24"/>
          <w:szCs w:val="24"/>
        </w:rPr>
        <w:t>2014.</w:t>
      </w:r>
      <w:r w:rsidR="00AC79C3" w:rsidRPr="00BA705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–2020. </w:t>
      </w:r>
      <w:r w:rsidRPr="00BA705E">
        <w:rPr>
          <w:rFonts w:ascii="Times New Roman" w:eastAsia="Calibri" w:hAnsi="Times New Roman" w:cs="Times New Roman"/>
          <w:b/>
          <w:bCs/>
          <w:sz w:val="24"/>
          <w:szCs w:val="24"/>
        </w:rPr>
        <w:t>UN IEROSINĀJUMI NEPIECIEŠAMAJAI RĪCĪBAI NĀKAMAJĀ PĀRSKATA PERIODĀ</w:t>
      </w:r>
      <w:r w:rsidRPr="00BA705E" w:rsidDel="00C7481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tbl>
      <w:tblPr>
        <w:tblStyle w:val="Reatabula"/>
        <w:tblW w:w="14601" w:type="dxa"/>
        <w:tblInd w:w="-289" w:type="dxa"/>
        <w:tblLook w:val="04A0" w:firstRow="1" w:lastRow="0" w:firstColumn="1" w:lastColumn="0" w:noHBand="0" w:noVBand="1"/>
      </w:tblPr>
      <w:tblGrid>
        <w:gridCol w:w="792"/>
        <w:gridCol w:w="3320"/>
        <w:gridCol w:w="3827"/>
        <w:gridCol w:w="1417"/>
        <w:gridCol w:w="1418"/>
        <w:gridCol w:w="3827"/>
      </w:tblGrid>
      <w:tr w:rsidR="00F231D6" w:rsidRPr="005D505F" w14:paraId="2A05B542" w14:textId="51C89538" w:rsidTr="00BF6073">
        <w:tc>
          <w:tcPr>
            <w:tcW w:w="792" w:type="dxa"/>
            <w:shd w:val="clear" w:color="auto" w:fill="E7E6E6"/>
          </w:tcPr>
          <w:p w14:paraId="24258DE1" w14:textId="77777777" w:rsidR="00F231D6" w:rsidRPr="00651A95" w:rsidRDefault="00F231D6" w:rsidP="005D505F">
            <w:pPr>
              <w:spacing w:before="240" w:after="24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51A9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Nr.</w:t>
            </w:r>
          </w:p>
        </w:tc>
        <w:tc>
          <w:tcPr>
            <w:tcW w:w="3320" w:type="dxa"/>
            <w:shd w:val="clear" w:color="auto" w:fill="E7E6E6"/>
          </w:tcPr>
          <w:p w14:paraId="4FC0ADCE" w14:textId="0A8BE0F0" w:rsidR="00F231D6" w:rsidRPr="00651A95" w:rsidRDefault="00F231D6" w:rsidP="005D505F">
            <w:pPr>
              <w:spacing w:before="240" w:after="24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51A9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Izaicinājums</w:t>
            </w:r>
          </w:p>
        </w:tc>
        <w:tc>
          <w:tcPr>
            <w:tcW w:w="3827" w:type="dxa"/>
            <w:shd w:val="clear" w:color="auto" w:fill="E7E6E6"/>
          </w:tcPr>
          <w:p w14:paraId="2DD8931A" w14:textId="46B57393" w:rsidR="00F231D6" w:rsidRPr="00651A95" w:rsidRDefault="00F231D6" w:rsidP="005D505F">
            <w:pPr>
              <w:spacing w:before="240" w:after="24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51A9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Ierosinātās rīcības</w:t>
            </w:r>
          </w:p>
        </w:tc>
        <w:tc>
          <w:tcPr>
            <w:tcW w:w="1417" w:type="dxa"/>
            <w:shd w:val="clear" w:color="auto" w:fill="E7E6E6"/>
          </w:tcPr>
          <w:p w14:paraId="6890090F" w14:textId="77777777" w:rsidR="00F231D6" w:rsidRPr="00651A95" w:rsidRDefault="00F231D6" w:rsidP="005D505F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78B882A0" w14:textId="640B0A14" w:rsidR="00F231D6" w:rsidRPr="00651A95" w:rsidRDefault="00F231D6" w:rsidP="005D505F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Ierosinātās rīcības</w:t>
            </w:r>
            <w:r w:rsidRPr="00651A9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veids</w:t>
            </w:r>
          </w:p>
          <w:p w14:paraId="59782FD5" w14:textId="77777777" w:rsidR="00F231D6" w:rsidRPr="00651A95" w:rsidRDefault="00F231D6" w:rsidP="005D505F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E7E6E6"/>
          </w:tcPr>
          <w:p w14:paraId="7F905810" w14:textId="77777777" w:rsidR="00F231D6" w:rsidRPr="00651A95" w:rsidRDefault="00F231D6" w:rsidP="005D505F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72CFD405" w14:textId="59F0A254" w:rsidR="00F231D6" w:rsidRPr="00651A95" w:rsidRDefault="00F231D6" w:rsidP="005D505F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51A9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Iesaistītās institūcijas</w:t>
            </w:r>
          </w:p>
        </w:tc>
        <w:tc>
          <w:tcPr>
            <w:tcW w:w="3827" w:type="dxa"/>
            <w:shd w:val="clear" w:color="auto" w:fill="E7E6E6"/>
          </w:tcPr>
          <w:p w14:paraId="284BF389" w14:textId="77777777" w:rsidR="007C3761" w:rsidRDefault="007C3761" w:rsidP="005D505F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17115DFD" w14:textId="5759BA46" w:rsidR="00F231D6" w:rsidRPr="00651A95" w:rsidRDefault="007C3761" w:rsidP="005D505F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Veiktas darbības problēmas risināšanai</w:t>
            </w:r>
          </w:p>
        </w:tc>
      </w:tr>
      <w:tr w:rsidR="00F231D6" w:rsidRPr="005D505F" w14:paraId="229B94AB" w14:textId="104F61D2" w:rsidTr="00BF6073">
        <w:tc>
          <w:tcPr>
            <w:tcW w:w="792" w:type="dxa"/>
          </w:tcPr>
          <w:p w14:paraId="38077F1E" w14:textId="77777777" w:rsidR="00F231D6" w:rsidRPr="005D505F" w:rsidRDefault="00F231D6" w:rsidP="005D505F">
            <w:pPr>
              <w:spacing w:before="240" w:after="24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D505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320" w:type="dxa"/>
          </w:tcPr>
          <w:p w14:paraId="71734CEF" w14:textId="45A63F40" w:rsidR="007B7042" w:rsidRDefault="00AB4976" w:rsidP="005D505F">
            <w:pPr>
              <w:spacing w:before="240" w:after="24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bookmarkStart w:id="0" w:name="_Hlk127533534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Finansējuma saņēmējiem</w:t>
            </w:r>
            <w:r w:rsidR="00F231D6" w:rsidRPr="005D505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ir </w:t>
            </w:r>
            <w:r w:rsidR="00F231D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bijusi </w:t>
            </w:r>
            <w:r w:rsidR="00956442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nepietiekama</w:t>
            </w:r>
            <w:r w:rsidR="00956442" w:rsidRPr="007C3761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F231D6" w:rsidRPr="007C3761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izpratne par HP</w:t>
            </w:r>
            <w:r w:rsidR="00F231D6" w:rsidRPr="005D505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231D6" w:rsidRPr="00A2662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būtību</w:t>
            </w:r>
            <w:r w:rsidR="00F231D6" w:rsidRPr="005D505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vairumā gadījumu HP attiecinot uz vienlīdzīgu attieksmi, nevis vienlīdzīgām iespējām</w:t>
            </w:r>
            <w:r w:rsidR="00285F3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  <w:r w:rsidR="00F231D6" w:rsidRPr="005D505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0C60BC11" w14:textId="3253CBFF" w:rsidR="00285F35" w:rsidRDefault="00285F35" w:rsidP="005D505F">
            <w:pPr>
              <w:spacing w:before="240" w:after="24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85F3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FS ir iekļāvuši HP darbības un rādītājus projektos formāli, nevis pēc būtības,  par ko liecina KPVIS dati par sasniegtajām rādītāju vērtībām un projektu padziļināta analīze.</w:t>
            </w:r>
          </w:p>
          <w:p w14:paraId="5F3A15F4" w14:textId="77777777" w:rsidR="007B7042" w:rsidRDefault="007B7042" w:rsidP="007B7042">
            <w:pPr>
              <w:spacing w:before="240" w:after="24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A705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Pastāvot neizpratnei un nesaskatot kopsakarību starp projekta darbībām un HP </w:t>
            </w:r>
            <w:r w:rsidRPr="00BA705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darbībām, radies uzskats, </w:t>
            </w:r>
            <w:r w:rsidRPr="00BA705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ka HP rada administratīvo slogu.</w:t>
            </w:r>
          </w:p>
          <w:p w14:paraId="08447E5A" w14:textId="77777777" w:rsidR="007B7042" w:rsidRDefault="007B7042" w:rsidP="005D505F">
            <w:pPr>
              <w:spacing w:before="240" w:after="24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220510C5" w14:textId="77777777" w:rsidR="007B7042" w:rsidRDefault="007B7042" w:rsidP="005D505F">
            <w:pPr>
              <w:spacing w:before="240" w:after="24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25AC82BB" w14:textId="77777777" w:rsidR="007B7042" w:rsidRDefault="007B7042" w:rsidP="005D505F">
            <w:pPr>
              <w:spacing w:before="240" w:after="24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77C05BA7" w14:textId="77777777" w:rsidR="007B7042" w:rsidRDefault="007B7042" w:rsidP="005D505F">
            <w:pPr>
              <w:spacing w:before="240" w:after="24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bookmarkEnd w:id="0"/>
          <w:p w14:paraId="4EE4A934" w14:textId="77777777" w:rsidR="004E3450" w:rsidRDefault="004E3450" w:rsidP="005D505F">
            <w:pPr>
              <w:spacing w:before="240" w:after="24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12A46915" w14:textId="38B21E98" w:rsidR="009B1C1B" w:rsidRPr="005D505F" w:rsidRDefault="009B1C1B" w:rsidP="005D505F">
            <w:pPr>
              <w:spacing w:before="240" w:after="24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</w:tcPr>
          <w:p w14:paraId="48601389" w14:textId="5D421BF1" w:rsidR="00F231D6" w:rsidRDefault="003023F9" w:rsidP="005D505F">
            <w:pPr>
              <w:spacing w:before="240" w:after="24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Nākamajos ES fondu plānošanas periodos</w:t>
            </w:r>
            <w:r w:rsidRPr="005D505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t</w:t>
            </w:r>
            <w:r w:rsidR="00F231D6" w:rsidRPr="005D505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urpināt nodrošināt izglītojošo un informatīvo atbalstu par HP VI būtību un izpausmēm</w:t>
            </w:r>
            <w:r w:rsidR="00F231D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B49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finansējuma saņēmējiem,</w:t>
            </w:r>
            <w:r w:rsidR="00F231D6" w:rsidRPr="005D505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īpašu uzmanību pievērošot vienlīdzīgu iespēju principu integrēšanai vis</w:t>
            </w:r>
            <w:r w:rsidR="00E901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u</w:t>
            </w:r>
            <w:r w:rsidR="00F231D6" w:rsidRPr="005D505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veid</w:t>
            </w:r>
            <w:r w:rsidR="00E901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u</w:t>
            </w:r>
            <w:r w:rsidR="00F231D6" w:rsidRPr="005D505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darbību saturā. Nodrošināt regulāras mācības (t.</w:t>
            </w:r>
            <w:r w:rsidR="00E901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</w:t>
            </w:r>
            <w:r w:rsidR="00F231D6" w:rsidRPr="005D505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sk. arī </w:t>
            </w:r>
            <w:r w:rsidR="006B31D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ES fondu vadībā un īstenošanā iesaistīt</w:t>
            </w:r>
            <w:r w:rsidR="00645D9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a</w:t>
            </w:r>
            <w:r w:rsidR="006B31D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jiem</w:t>
            </w:r>
            <w:r w:rsidR="00F231D6" w:rsidRPr="005D505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) par integrēto pieeju, piesaistot ekspertus vai lektorus no pētniecības vai augstākām mācību iestādēm un nodrošinot atbilstošu budžetu. Lai veicinātu izpratnes veidošanos un nostiprināšanos, mācības būtu jāīsteno ciklu veidā, atkārtojot t</w:t>
            </w:r>
            <w:r w:rsidR="00E901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ā</w:t>
            </w:r>
            <w:r w:rsidR="00F231D6" w:rsidRPr="005D505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s katrai dalībnieku grupai un </w:t>
            </w:r>
            <w:r w:rsidR="00F231D6" w:rsidRPr="005D505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pievēršoties padziļinātai atsevišķu HP VI jomu izpētei, piemēram, nodarbinātība, izglītība, uzņēmējdarbība, darba un ģimenes dzīves saskaņošana u.</w:t>
            </w:r>
            <w:r w:rsidR="00E901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</w:t>
            </w:r>
            <w:r w:rsidR="00F231D6" w:rsidRPr="005D505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c.</w:t>
            </w:r>
          </w:p>
          <w:p w14:paraId="4C36DD3E" w14:textId="77777777" w:rsidR="007B7042" w:rsidRPr="005D505F" w:rsidRDefault="007B7042" w:rsidP="005D505F">
            <w:pPr>
              <w:spacing w:before="240" w:after="24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28DA3E7F" w14:textId="5E62D42B" w:rsidR="00F231D6" w:rsidRPr="005D505F" w:rsidRDefault="00F231D6" w:rsidP="005D505F">
            <w:pPr>
              <w:spacing w:before="240" w:after="24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79C4BCD" w14:textId="77777777" w:rsidR="00F231D6" w:rsidRPr="005D505F" w:rsidRDefault="00F231D6" w:rsidP="005D505F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2214E41F" w14:textId="7F54209A" w:rsidR="00F231D6" w:rsidRPr="005D505F" w:rsidRDefault="00F231D6" w:rsidP="005D505F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D505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Stratēģisk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s </w:t>
            </w:r>
          </w:p>
          <w:p w14:paraId="16803B47" w14:textId="77777777" w:rsidR="00F231D6" w:rsidRPr="005D505F" w:rsidRDefault="00F231D6" w:rsidP="005D505F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06EC73E" w14:textId="77777777" w:rsidR="00F231D6" w:rsidRPr="005D505F" w:rsidRDefault="00F231D6" w:rsidP="005D505F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44DE750F" w14:textId="00D52AB1" w:rsidR="00F231D6" w:rsidRPr="005D505F" w:rsidRDefault="00F231D6" w:rsidP="005D505F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D505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LM,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VI, AI,</w:t>
            </w:r>
          </w:p>
          <w:p w14:paraId="253D8AA1" w14:textId="77777777" w:rsidR="00F231D6" w:rsidRPr="005D505F" w:rsidRDefault="00F231D6" w:rsidP="005D505F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D505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CFLA</w:t>
            </w:r>
          </w:p>
          <w:p w14:paraId="15D4DFD4" w14:textId="77777777" w:rsidR="00F231D6" w:rsidRPr="005D505F" w:rsidRDefault="00F231D6" w:rsidP="00332A06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</w:tcPr>
          <w:p w14:paraId="7245A15C" w14:textId="77777777" w:rsidR="003023F9" w:rsidRDefault="003023F9" w:rsidP="005D505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638CC7A" w14:textId="3FC969B8" w:rsidR="00E6214D" w:rsidRDefault="00F231D6" w:rsidP="005D505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6629">
              <w:rPr>
                <w:rFonts w:ascii="Times New Roman" w:eastAsia="Calibri" w:hAnsi="Times New Roman" w:cs="Times New Roman"/>
                <w:sz w:val="24"/>
                <w:szCs w:val="24"/>
              </w:rPr>
              <w:t>Rekomendācija tiek īstenota ES fondu 2021.</w:t>
            </w:r>
            <w:r w:rsidR="00E9019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–</w:t>
            </w:r>
            <w:r w:rsidRPr="00A266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2027. </w:t>
            </w:r>
            <w:r w:rsidR="00E901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gada </w:t>
            </w:r>
            <w:r w:rsidRPr="00A26629">
              <w:rPr>
                <w:rFonts w:ascii="Times New Roman" w:eastAsia="Calibri" w:hAnsi="Times New Roman" w:cs="Times New Roman"/>
                <w:sz w:val="24"/>
                <w:szCs w:val="24"/>
              </w:rPr>
              <w:t>plānošanas periodā,</w:t>
            </w:r>
            <w:r w:rsidR="00E621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6214D" w:rsidRPr="006D59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veicot </w:t>
            </w:r>
            <w:r w:rsidR="00E107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šādas</w:t>
            </w:r>
            <w:r w:rsidR="00E107F4" w:rsidRPr="006D59B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E6214D" w:rsidRPr="006D59B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darbības</w:t>
            </w:r>
            <w:r w:rsidR="00E6214D" w:rsidRPr="006D59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</w:p>
          <w:p w14:paraId="0862486A" w14:textId="2CE99B46" w:rsidR="00F231D6" w:rsidRDefault="00E6214D" w:rsidP="005D505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</w:t>
            </w:r>
            <w:r w:rsidR="00F231D6" w:rsidRPr="00A266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ESF+ līdzfinansētā </w:t>
            </w:r>
            <w:r w:rsidR="00E702AF" w:rsidRPr="00A266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LM </w:t>
            </w:r>
            <w:r w:rsidR="00F231D6" w:rsidRPr="00A266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projekta Nr.4.3.4.1/1/23/I/001 “Vienlīdzīgu iespēju un </w:t>
            </w:r>
            <w:proofErr w:type="spellStart"/>
            <w:r w:rsidR="00F231D6" w:rsidRPr="00A26629">
              <w:rPr>
                <w:rFonts w:ascii="Times New Roman" w:eastAsia="Calibri" w:hAnsi="Times New Roman" w:cs="Times New Roman"/>
                <w:sz w:val="24"/>
                <w:szCs w:val="24"/>
              </w:rPr>
              <w:t>nediskriminācijas</w:t>
            </w:r>
            <w:proofErr w:type="spellEnd"/>
            <w:r w:rsidR="00F231D6" w:rsidRPr="00A266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veicināšana” ietvaros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CD6B93" w:rsidRPr="00A26629">
              <w:rPr>
                <w:rFonts w:ascii="Times New Roman" w:eastAsia="Calibri" w:hAnsi="Times New Roman" w:cs="Times New Roman"/>
                <w:sz w:val="24"/>
                <w:szCs w:val="24"/>
              </w:rPr>
              <w:t>ti</w:t>
            </w:r>
            <w:r w:rsidR="00E702AF" w:rsidRPr="00A26629">
              <w:rPr>
                <w:rFonts w:ascii="Times New Roman" w:eastAsia="Calibri" w:hAnsi="Times New Roman" w:cs="Times New Roman"/>
                <w:sz w:val="24"/>
                <w:szCs w:val="24"/>
              </w:rPr>
              <w:t>ek</w:t>
            </w:r>
            <w:r w:rsidR="00CD6B93" w:rsidRPr="00A266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CD6B93" w:rsidRPr="00A2662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 veicināta </w:t>
            </w:r>
            <w:r w:rsidR="00E702AF" w:rsidRPr="00A2662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kopēja izpratne par </w:t>
            </w:r>
            <w:proofErr w:type="spellStart"/>
            <w:r w:rsidR="00E702AF" w:rsidRPr="00A2662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nediskrimināciju</w:t>
            </w:r>
            <w:proofErr w:type="spellEnd"/>
            <w:r w:rsidR="00CD439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un vienlīdzīgām iespējām</w:t>
            </w:r>
            <w:r w:rsidR="00CD6B93" w:rsidRPr="00A2662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īstenojot informatīvus, izglītojošus un metodiskā atbalsta pasākumus politikas plānotājiem, īstenotājiem un darba devējiem</w:t>
            </w:r>
            <w:r w:rsidR="0031480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t.</w:t>
            </w:r>
            <w:r w:rsidR="00E9019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="0031480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sk. tiek izstrādāta e-mācību programma politikas veidotājiem un darba devējiem.</w:t>
            </w:r>
          </w:p>
          <w:p w14:paraId="6F9B1355" w14:textId="77777777" w:rsidR="00194463" w:rsidRDefault="00194463" w:rsidP="005D505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14:paraId="4B9BAD63" w14:textId="65239C5E" w:rsidR="00194463" w:rsidRPr="00BF6073" w:rsidRDefault="00E6214D" w:rsidP="003023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073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DC6413" w:rsidRPr="00BF6073">
              <w:rPr>
                <w:rFonts w:ascii="Times New Roman" w:hAnsi="Times New Roman" w:cs="Times New Roman"/>
                <w:sz w:val="24"/>
                <w:szCs w:val="24"/>
              </w:rPr>
              <w:t xml:space="preserve">LM izstrādāja Vadlīnijas </w:t>
            </w:r>
            <w:r w:rsidR="00E90195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="00DC6413" w:rsidRPr="00BF6073">
              <w:rPr>
                <w:rFonts w:ascii="Times New Roman" w:hAnsi="Times New Roman" w:cs="Times New Roman"/>
                <w:sz w:val="24"/>
                <w:szCs w:val="24"/>
              </w:rPr>
              <w:t>orizontāl</w:t>
            </w:r>
            <w:r w:rsidR="00E90195">
              <w:rPr>
                <w:rFonts w:ascii="Times New Roman" w:hAnsi="Times New Roman" w:cs="Times New Roman"/>
                <w:sz w:val="24"/>
                <w:szCs w:val="24"/>
              </w:rPr>
              <w:t>ā</w:t>
            </w:r>
            <w:r w:rsidR="00DC6413" w:rsidRPr="00BF6073">
              <w:rPr>
                <w:rFonts w:ascii="Times New Roman" w:hAnsi="Times New Roman" w:cs="Times New Roman"/>
                <w:sz w:val="24"/>
                <w:szCs w:val="24"/>
              </w:rPr>
              <w:t xml:space="preserve"> princip</w:t>
            </w:r>
            <w:r w:rsidR="00E90195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DC6413" w:rsidRPr="00BF6073">
              <w:rPr>
                <w:rFonts w:ascii="Times New Roman" w:hAnsi="Times New Roman" w:cs="Times New Roman"/>
                <w:sz w:val="24"/>
                <w:szCs w:val="24"/>
              </w:rPr>
              <w:t xml:space="preserve"> “Vienlīdzība, </w:t>
            </w:r>
            <w:r w:rsidR="00DC6413" w:rsidRPr="00BF60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iekļaušana, </w:t>
            </w:r>
            <w:proofErr w:type="spellStart"/>
            <w:r w:rsidR="00DC6413" w:rsidRPr="00BF6073">
              <w:rPr>
                <w:rFonts w:ascii="Times New Roman" w:hAnsi="Times New Roman" w:cs="Times New Roman"/>
                <w:sz w:val="24"/>
                <w:szCs w:val="24"/>
              </w:rPr>
              <w:t>nediskriminācija</w:t>
            </w:r>
            <w:proofErr w:type="spellEnd"/>
            <w:r w:rsidR="00DC6413" w:rsidRPr="00BF6073">
              <w:rPr>
                <w:rFonts w:ascii="Times New Roman" w:hAnsi="Times New Roman" w:cs="Times New Roman"/>
                <w:sz w:val="24"/>
                <w:szCs w:val="24"/>
              </w:rPr>
              <w:t xml:space="preserve"> un </w:t>
            </w:r>
            <w:proofErr w:type="spellStart"/>
            <w:r w:rsidR="00DC6413" w:rsidRPr="00BF6073">
              <w:rPr>
                <w:rFonts w:ascii="Times New Roman" w:hAnsi="Times New Roman" w:cs="Times New Roman"/>
                <w:sz w:val="24"/>
                <w:szCs w:val="24"/>
              </w:rPr>
              <w:t>pamattiesību</w:t>
            </w:r>
            <w:proofErr w:type="spellEnd"/>
            <w:r w:rsidR="00DC6413" w:rsidRPr="00BF6073">
              <w:rPr>
                <w:rFonts w:ascii="Times New Roman" w:hAnsi="Times New Roman" w:cs="Times New Roman"/>
                <w:sz w:val="24"/>
                <w:szCs w:val="24"/>
              </w:rPr>
              <w:t xml:space="preserve"> ievērošana” īstenošanai un uzraudzībai (2021</w:t>
            </w:r>
            <w:r w:rsidR="00E9019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–</w:t>
            </w:r>
            <w:r w:rsidR="00DC6413" w:rsidRPr="00BF6073">
              <w:rPr>
                <w:rFonts w:ascii="Times New Roman" w:hAnsi="Times New Roman" w:cs="Times New Roman"/>
                <w:sz w:val="24"/>
                <w:szCs w:val="24"/>
              </w:rPr>
              <w:t>2027)</w:t>
            </w:r>
            <w:r w:rsidR="00DC6413">
              <w:rPr>
                <w:rFonts w:ascii="Times New Roman" w:hAnsi="Times New Roman" w:cs="Times New Roman"/>
                <w:sz w:val="24"/>
                <w:szCs w:val="24"/>
              </w:rPr>
              <w:t xml:space="preserve">, kas </w:t>
            </w:r>
            <w:r w:rsidR="001075DD">
              <w:rPr>
                <w:rFonts w:ascii="Times New Roman" w:hAnsi="Times New Roman" w:cs="Times New Roman"/>
                <w:sz w:val="24"/>
                <w:szCs w:val="24"/>
              </w:rPr>
              <w:t xml:space="preserve">skaidro HP būtību un vienlīdzīgo iespēju jēdzienus un ieviešanas mehānismu. </w:t>
            </w:r>
          </w:p>
          <w:p w14:paraId="3DE15B12" w14:textId="2232AA73" w:rsidR="00E6214D" w:rsidRDefault="00DC6413" w:rsidP="005D505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</w:t>
            </w:r>
            <w:r w:rsidR="00E621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LM piedalās CFLA </w:t>
            </w:r>
            <w:proofErr w:type="spellStart"/>
            <w:r w:rsidR="00194463">
              <w:rPr>
                <w:rFonts w:ascii="Times New Roman" w:eastAsia="Calibri" w:hAnsi="Times New Roman" w:cs="Times New Roman"/>
                <w:sz w:val="24"/>
                <w:szCs w:val="24"/>
              </w:rPr>
              <w:t>veb</w:t>
            </w:r>
            <w:r w:rsidR="00E6214D">
              <w:rPr>
                <w:rFonts w:ascii="Times New Roman" w:eastAsia="Calibri" w:hAnsi="Times New Roman" w:cs="Times New Roman"/>
                <w:sz w:val="24"/>
                <w:szCs w:val="24"/>
              </w:rPr>
              <w:t>ināros</w:t>
            </w:r>
            <w:proofErr w:type="spellEnd"/>
            <w:r w:rsidR="00E621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projektu </w:t>
            </w:r>
            <w:r w:rsidR="000347DD">
              <w:rPr>
                <w:rFonts w:ascii="Times New Roman" w:eastAsia="Calibri" w:hAnsi="Times New Roman" w:cs="Times New Roman"/>
                <w:sz w:val="24"/>
                <w:szCs w:val="24"/>
              </w:rPr>
              <w:t>iesniedzējiem</w:t>
            </w:r>
            <w:r w:rsidR="00E6214D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r w:rsidR="003023F9">
              <w:rPr>
                <w:rFonts w:ascii="Times New Roman" w:eastAsia="Calibri" w:hAnsi="Times New Roman" w:cs="Times New Roman"/>
                <w:sz w:val="24"/>
                <w:szCs w:val="24"/>
              </w:rPr>
              <w:t>FS</w:t>
            </w:r>
            <w:r w:rsidR="00E6214D">
              <w:rPr>
                <w:rFonts w:ascii="Times New Roman" w:eastAsia="Calibri" w:hAnsi="Times New Roman" w:cs="Times New Roman"/>
                <w:sz w:val="24"/>
                <w:szCs w:val="24"/>
              </w:rPr>
              <w:t>, skaidrojot HP prasības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atbilstoši</w:t>
            </w:r>
            <w:r w:rsidR="00E621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SAM pasākuma MK noteikumiem </w:t>
            </w:r>
            <w:r w:rsidR="00E6214D">
              <w:rPr>
                <w:rFonts w:ascii="Times New Roman" w:eastAsia="Calibri" w:hAnsi="Times New Roman" w:cs="Times New Roman"/>
                <w:sz w:val="24"/>
                <w:szCs w:val="24"/>
              </w:rPr>
              <w:t>un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F1DB0">
              <w:rPr>
                <w:rFonts w:ascii="Times New Roman" w:eastAsia="Calibri" w:hAnsi="Times New Roman" w:cs="Times New Roman"/>
                <w:sz w:val="24"/>
                <w:szCs w:val="24"/>
              </w:rPr>
              <w:t>vienotu pieeju</w:t>
            </w:r>
            <w:r w:rsidR="00E90195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C761F3">
              <w:rPr>
                <w:rFonts w:ascii="Times New Roman" w:eastAsia="Calibri" w:hAnsi="Times New Roman" w:cs="Times New Roman"/>
                <w:sz w:val="24"/>
                <w:szCs w:val="24"/>
              </w:rPr>
              <w:t>kā</w:t>
            </w:r>
            <w:r w:rsidR="00E621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HP principus integrēt projektos.</w:t>
            </w:r>
            <w:r w:rsidR="001944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Prezentācijas un </w:t>
            </w:r>
            <w:proofErr w:type="spellStart"/>
            <w:r w:rsidR="00194463">
              <w:rPr>
                <w:rFonts w:ascii="Times New Roman" w:eastAsia="Calibri" w:hAnsi="Times New Roman" w:cs="Times New Roman"/>
                <w:sz w:val="24"/>
                <w:szCs w:val="24"/>
              </w:rPr>
              <w:t>vebināru</w:t>
            </w:r>
            <w:proofErr w:type="spellEnd"/>
            <w:r w:rsidR="001944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ieraksti ir pieejami projektu iesniedzējiem</w:t>
            </w:r>
            <w:r w:rsidR="00C761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/FS </w:t>
            </w:r>
            <w:r w:rsidR="001944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CFLA </w:t>
            </w:r>
            <w:r w:rsidR="00E90195">
              <w:rPr>
                <w:rFonts w:ascii="Times New Roman" w:eastAsia="Calibri" w:hAnsi="Times New Roman" w:cs="Times New Roman"/>
                <w:sz w:val="24"/>
                <w:szCs w:val="24"/>
              </w:rPr>
              <w:t>tīmekļvietnē</w:t>
            </w:r>
            <w:r w:rsidR="0019446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50685D86" w14:textId="6ACFB861" w:rsidR="00194463" w:rsidRPr="00BF6073" w:rsidRDefault="00194463" w:rsidP="005D505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72666" w:rsidRPr="005D505F" w14:paraId="7E3CB4B7" w14:textId="77777777" w:rsidTr="00BF6073">
        <w:tc>
          <w:tcPr>
            <w:tcW w:w="792" w:type="dxa"/>
          </w:tcPr>
          <w:p w14:paraId="000CA7B3" w14:textId="6284C23B" w:rsidR="00672666" w:rsidRPr="005D505F" w:rsidRDefault="004718BA" w:rsidP="005D505F">
            <w:pPr>
              <w:spacing w:before="240" w:after="24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2.</w:t>
            </w:r>
          </w:p>
        </w:tc>
        <w:tc>
          <w:tcPr>
            <w:tcW w:w="3320" w:type="dxa"/>
          </w:tcPr>
          <w:p w14:paraId="008A237F" w14:textId="3E4AA98C" w:rsidR="00672666" w:rsidRDefault="00672666" w:rsidP="001B7C62">
            <w:pPr>
              <w:spacing w:before="240" w:after="24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D505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ES fondu 2014.</w:t>
            </w:r>
            <w:r w:rsidR="00E9019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–</w:t>
            </w:r>
            <w:r w:rsidRPr="005D505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2020.</w:t>
            </w:r>
            <w:r w:rsidR="00E901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gada</w:t>
            </w:r>
            <w:r w:rsidRPr="005D505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plānošanas periodā lielākais </w:t>
            </w:r>
            <w:r w:rsidRPr="0050664D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uzsvars tika likts uz vides </w:t>
            </w:r>
            <w:proofErr w:type="spellStart"/>
            <w:r w:rsidRPr="0050664D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piekļūstamības</w:t>
            </w:r>
            <w:proofErr w:type="spellEnd"/>
            <w:r w:rsidRPr="0050664D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problemātiku</w:t>
            </w:r>
            <w:r w:rsidRPr="005D505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jo</w:t>
            </w:r>
            <w:r w:rsidRPr="005D505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D505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piekļūstamības</w:t>
            </w:r>
            <w:proofErr w:type="spellEnd"/>
            <w:r w:rsidRPr="005D505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nodrošināšanas aspekt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</w:t>
            </w:r>
            <w:r w:rsidRPr="005D505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radīja lielākos izaicinājumus vienlīdzīgu iespēju nodrošināšanai personām ar invaliditāti</w:t>
            </w:r>
            <w:r w:rsidR="00A7693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. Pastāvošais būvniecības regulējums neatbilst </w:t>
            </w:r>
            <w:proofErr w:type="spellStart"/>
            <w:r w:rsidR="00A7693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piekļūstamības</w:t>
            </w:r>
            <w:proofErr w:type="spellEnd"/>
            <w:r w:rsidR="00A7693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7693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principam, </w:t>
            </w:r>
            <w:r w:rsidR="00A76936" w:rsidRPr="00A7693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kā to nosaka ANO Konvencijas 9. pants.</w:t>
            </w:r>
          </w:p>
        </w:tc>
        <w:tc>
          <w:tcPr>
            <w:tcW w:w="3827" w:type="dxa"/>
          </w:tcPr>
          <w:p w14:paraId="4E806BB8" w14:textId="3DB2B99D" w:rsidR="00672666" w:rsidRDefault="002425C3" w:rsidP="005D505F">
            <w:pPr>
              <w:spacing w:before="240" w:after="24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42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Lai nodrošinātu efektīvāku HP ieviešanu, nepieciešam</w:t>
            </w:r>
            <w:r w:rsidR="00285F3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 pilnveidot būvniecību regulējošos normatīvos aktus, k</w:t>
            </w:r>
            <w:r w:rsidRPr="00242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as palīdzētu efektīvāk nodrošināt </w:t>
            </w:r>
            <w:r w:rsidR="00285F3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vides </w:t>
            </w:r>
            <w:proofErr w:type="spellStart"/>
            <w:r w:rsidR="00285F3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piekļūstamību</w:t>
            </w:r>
            <w:proofErr w:type="spellEnd"/>
            <w:r w:rsidRPr="00242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kā arī </w:t>
            </w:r>
            <w:r w:rsidR="00285F3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turpināt izglītojošo un skaidrojošo atbalstu infrastruktūras attīstības  projektiem. </w:t>
            </w:r>
          </w:p>
        </w:tc>
        <w:tc>
          <w:tcPr>
            <w:tcW w:w="1417" w:type="dxa"/>
          </w:tcPr>
          <w:p w14:paraId="2A027AE2" w14:textId="77777777" w:rsidR="00285F35" w:rsidRDefault="00285F35" w:rsidP="00672666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1F0325EE" w14:textId="3526BBE1" w:rsidR="00672666" w:rsidRPr="005D505F" w:rsidRDefault="00672666" w:rsidP="00672666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D505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Stratēģisk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</w:t>
            </w:r>
          </w:p>
          <w:p w14:paraId="2FB15C43" w14:textId="77777777" w:rsidR="00672666" w:rsidRPr="005D505F" w:rsidRDefault="00672666" w:rsidP="005D505F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03D5563" w14:textId="77777777" w:rsidR="00285F35" w:rsidRDefault="00285F35" w:rsidP="005D505F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0FA21E83" w14:textId="3C310944" w:rsidR="00672666" w:rsidRDefault="00672666" w:rsidP="005D505F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LM,</w:t>
            </w:r>
          </w:p>
          <w:p w14:paraId="422D3FEB" w14:textId="192F801F" w:rsidR="00672666" w:rsidRPr="005D505F" w:rsidRDefault="00672666" w:rsidP="005D505F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EM</w:t>
            </w:r>
          </w:p>
        </w:tc>
        <w:tc>
          <w:tcPr>
            <w:tcW w:w="3827" w:type="dxa"/>
          </w:tcPr>
          <w:p w14:paraId="1BB6D0AD" w14:textId="1B19CC49" w:rsidR="00672666" w:rsidRDefault="00960B6A" w:rsidP="00672666">
            <w:pPr>
              <w:spacing w:before="240" w:after="24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60B6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LBN</w:t>
            </w:r>
            <w:r w:rsidR="00E901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60B6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200-21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izstrādes procesā </w:t>
            </w:r>
            <w:r w:rsidR="00A3475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LM inic</w:t>
            </w:r>
            <w:r w:rsidR="00E107F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i</w:t>
            </w:r>
            <w:r w:rsidR="00A3475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ēja </w:t>
            </w:r>
            <w:r w:rsidR="003615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noteikt prasības,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kas </w:t>
            </w:r>
            <w:r w:rsidR="00E107F4" w:rsidRPr="005D505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2018. gadā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bija </w:t>
            </w:r>
            <w:r w:rsidR="00E107F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noteiktas kā </w:t>
            </w:r>
            <w:r w:rsidR="00A3475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v</w:t>
            </w:r>
            <w:r w:rsidR="00672666" w:rsidRPr="005D505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ides </w:t>
            </w:r>
            <w:r w:rsidR="0067266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un informācijas </w:t>
            </w:r>
            <w:proofErr w:type="spellStart"/>
            <w:r w:rsidR="0067266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piekļūstamības</w:t>
            </w:r>
            <w:proofErr w:type="spellEnd"/>
            <w:r w:rsidR="00672666" w:rsidRPr="005D505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107F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rekomendācijas </w:t>
            </w:r>
            <w:r w:rsidR="0067266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LM izstrādātajās Vides pieejamības </w:t>
            </w:r>
            <w:r w:rsidR="00672666" w:rsidRPr="005D505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vadlīnijās</w:t>
            </w:r>
            <w:r w:rsidR="003615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  <w:r w:rsidR="00672666" w:rsidRPr="005D505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2021.</w:t>
            </w:r>
            <w:r w:rsidR="00B6712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72666" w:rsidRPr="005D505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gadā </w:t>
            </w:r>
            <w:r w:rsidR="003615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tās </w:t>
            </w:r>
            <w:r w:rsidR="00672666" w:rsidRPr="005D505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tika iekļaut</w:t>
            </w:r>
            <w:r w:rsidR="003615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as</w:t>
            </w:r>
            <w:r w:rsidR="00672666" w:rsidRPr="005D505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jaunajā būvnormatīvā LBN</w:t>
            </w:r>
            <w:r w:rsidR="00B6712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</w:t>
            </w:r>
            <w:r w:rsidR="00672666" w:rsidRPr="005D505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200-21</w:t>
            </w:r>
            <w:r w:rsidR="0067266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kā obligātas prasības būvētajai videi.</w:t>
            </w:r>
            <w:r w:rsidR="00672666" w:rsidRPr="005D505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Attiecīgi HP VI īstenošanas ietvaros paveiktais darbs ir ieguvis MK noteikumos iekļautas normas statusu.</w:t>
            </w:r>
            <w:r w:rsidR="001A3EF6">
              <w:t xml:space="preserve"> </w:t>
            </w:r>
            <w:r w:rsidR="001A3EF6" w:rsidRPr="001A3EF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Būvnormatīvā ir paredzētas </w:t>
            </w:r>
            <w:proofErr w:type="spellStart"/>
            <w:r w:rsidR="001A3EF6" w:rsidRPr="001A3EF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piekļūstamības</w:t>
            </w:r>
            <w:proofErr w:type="spellEnd"/>
            <w:r w:rsidR="001A3EF6" w:rsidRPr="001A3EF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prasības visiem telpu elementiem, tostarp arī prasības skaņas, vizuālai un </w:t>
            </w:r>
            <w:proofErr w:type="spellStart"/>
            <w:r w:rsidR="001A3EF6" w:rsidRPr="001A3EF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taktilai</w:t>
            </w:r>
            <w:proofErr w:type="spellEnd"/>
            <w:r w:rsidR="001A3EF6" w:rsidRPr="001A3EF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informācijai.</w:t>
            </w:r>
          </w:p>
          <w:p w14:paraId="38C96381" w14:textId="7C31874C" w:rsidR="001A3EF6" w:rsidRDefault="001A3EF6" w:rsidP="00672666">
            <w:pPr>
              <w:spacing w:before="240" w:after="24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2021</w:t>
            </w:r>
            <w:r w:rsidR="00B6712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  <w:r w:rsidR="00B6712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2027.</w:t>
            </w:r>
            <w:r w:rsidR="00B6712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gada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periodā LM turpina informatīvo atbalstu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piekļūstamības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nodrošināšanai</w:t>
            </w:r>
            <w:r w:rsidR="00C51E9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– gan būvēt</w:t>
            </w:r>
            <w:r w:rsidR="00B6712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aj</w:t>
            </w:r>
            <w:r w:rsidR="00C51E9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ai videi, gan digitālajai. LM ir izstrādājusi virkni materiālu par </w:t>
            </w:r>
            <w:proofErr w:type="spellStart"/>
            <w:r w:rsidR="00C51E9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piekļūstamību</w:t>
            </w:r>
            <w:proofErr w:type="spellEnd"/>
            <w:r w:rsidR="00C51E9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skatīt šeit: </w:t>
            </w:r>
            <w:hyperlink r:id="rId7" w:history="1">
              <w:r w:rsidR="00C51E97" w:rsidRPr="007D051E">
                <w:rPr>
                  <w:rStyle w:val="Hipersaite"/>
                  <w:rFonts w:ascii="Times New Roman" w:eastAsia="Calibri" w:hAnsi="Times New Roman" w:cs="Times New Roman"/>
                  <w:sz w:val="24"/>
                  <w:szCs w:val="24"/>
                </w:rPr>
                <w:t>https://www.lm.gov.lv/lv/vides-un-informacijas-pieklustamiba</w:t>
              </w:r>
            </w:hyperlink>
            <w:r w:rsidR="00C51E9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5CFA0272" w14:textId="77777777" w:rsidR="00672666" w:rsidRDefault="00672666" w:rsidP="005D505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31D6" w:rsidRPr="005D505F" w14:paraId="5D5280A2" w14:textId="4ED8CC46" w:rsidTr="00BF6073">
        <w:tc>
          <w:tcPr>
            <w:tcW w:w="792" w:type="dxa"/>
          </w:tcPr>
          <w:p w14:paraId="45A336FE" w14:textId="7DA3F18F" w:rsidR="00F231D6" w:rsidRPr="005D505F" w:rsidRDefault="004718BA" w:rsidP="005D505F">
            <w:pPr>
              <w:spacing w:before="240" w:after="24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  <w:r w:rsidR="00F231D6" w:rsidRPr="005D505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320" w:type="dxa"/>
          </w:tcPr>
          <w:p w14:paraId="00B45932" w14:textId="132061B4" w:rsidR="00F231D6" w:rsidRPr="005D505F" w:rsidRDefault="00C02A3D" w:rsidP="0080332D">
            <w:pPr>
              <w:spacing w:before="240" w:after="24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C</w:t>
            </w:r>
            <w:r w:rsidR="00F231D6" w:rsidRPr="00A2662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itiem HP VI aspektiem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– dzimums, vecums, etniskā piederība u.</w:t>
            </w:r>
            <w:r w:rsidR="00B6712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c.</w:t>
            </w:r>
            <w:r w:rsidR="00F231D6" w:rsidRPr="00A2662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B6712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– </w:t>
            </w:r>
            <w:r w:rsidR="00F231D6" w:rsidRPr="00A2662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2014.</w:t>
            </w:r>
            <w:r w:rsidR="00B6712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–</w:t>
            </w:r>
            <w:r w:rsidR="00F231D6" w:rsidRPr="00A2662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2021.</w:t>
            </w:r>
            <w:r w:rsidR="00B6712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F231D6" w:rsidRPr="00A2662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gada plānošanas periodā ir bijusi pievērsta mazāka uzmanība</w:t>
            </w:r>
            <w:r w:rsidR="00F231D6" w:rsidRPr="005D505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līdz ar to būtu jāliek uzsvars tieši uz dzimumu līdztiesību, iekļaušanu un </w:t>
            </w:r>
            <w:r w:rsidR="00F231D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visu veidu diskriminācijas </w:t>
            </w:r>
            <w:r w:rsidR="006E36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i</w:t>
            </w:r>
            <w:r w:rsidR="00F231D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zskaušanu</w:t>
            </w:r>
            <w:r w:rsidR="00F231D6" w:rsidRPr="005D505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ES</w:t>
            </w:r>
            <w:r w:rsidR="00F231D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fondu</w:t>
            </w:r>
            <w:r w:rsidR="00F231D6" w:rsidRPr="005D505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projektos. </w:t>
            </w:r>
          </w:p>
        </w:tc>
        <w:tc>
          <w:tcPr>
            <w:tcW w:w="3827" w:type="dxa"/>
          </w:tcPr>
          <w:p w14:paraId="6EB0F32F" w14:textId="690B092F" w:rsidR="002852D5" w:rsidRDefault="003023F9" w:rsidP="005D505F">
            <w:pPr>
              <w:spacing w:before="240" w:after="24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Nākamajos ES fondu plānošanas periodos</w:t>
            </w:r>
            <w:r w:rsidRPr="005D505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231D6" w:rsidRPr="005D505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jāpievērš pastiprināta uzmanība un jāstimulē, lai  ESF projektos tiktu akcentēti un iekļauti </w:t>
            </w:r>
            <w:r w:rsidR="00F231D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visi diskriminācijas aizlieguma pamati: dzimums, vecums, </w:t>
            </w:r>
            <w:r w:rsidR="00CD6B9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reliģiskā</w:t>
            </w:r>
            <w:r w:rsidR="00F231D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pārliecība, etniskā piederība, seksuālā orientācija un invaliditāte. </w:t>
            </w:r>
            <w:r w:rsidR="00F231D6" w:rsidRPr="005D505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676C4CC1" w14:textId="658BB865" w:rsidR="00790F84" w:rsidRDefault="00790F84" w:rsidP="005D505F">
            <w:pPr>
              <w:spacing w:before="240" w:after="24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0F8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Lai nodrošinātu efektīvāku HP ieviešanu, nepieciešama tā plašāka iekļaušana normatīvajos aktos, kas palīdzētu efektīvāk nodrošināt vienlīdzīgu attieksmi, kā arī novērst </w:t>
            </w:r>
            <w:r w:rsidRPr="00790F8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diskrimināciju, dzimuma, invaliditātes, vecuma vai citas pazīmes dēļ.</w:t>
            </w:r>
          </w:p>
          <w:p w14:paraId="21CE7E8D" w14:textId="5CB47236" w:rsidR="00F231D6" w:rsidRPr="005D505F" w:rsidRDefault="002852D5" w:rsidP="000F2FDF">
            <w:pPr>
              <w:spacing w:before="240" w:after="24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852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Nepieciešams pilnveidot esošo HP VI tematikai veltīto tīmekļa vietni, papildinot ar katram diskriminācijas veidam veltītu  šķirkļi, kurā tiktu publicēta atbilstoša informācija par HP VI jautājumiem</w:t>
            </w:r>
            <w:r w:rsidR="00790F8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1417" w:type="dxa"/>
          </w:tcPr>
          <w:p w14:paraId="09D9A139" w14:textId="77777777" w:rsidR="00F231D6" w:rsidRPr="005D505F" w:rsidRDefault="00F231D6" w:rsidP="005D505F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7D0AB6F2" w14:textId="2A25BD8F" w:rsidR="00F231D6" w:rsidRPr="005D505F" w:rsidRDefault="00F231D6" w:rsidP="005D505F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D505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Stratēģisk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</w:t>
            </w:r>
          </w:p>
          <w:p w14:paraId="1F19630E" w14:textId="77777777" w:rsidR="00F231D6" w:rsidRPr="005D505F" w:rsidRDefault="00F231D6" w:rsidP="005D505F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BF9D8FE" w14:textId="77777777" w:rsidR="00F231D6" w:rsidRPr="005D505F" w:rsidRDefault="00F231D6" w:rsidP="005D505F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2B065800" w14:textId="77777777" w:rsidR="00F231D6" w:rsidRPr="005D505F" w:rsidRDefault="00F231D6" w:rsidP="005D505F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D505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LM,</w:t>
            </w:r>
          </w:p>
          <w:p w14:paraId="2D6AB5AB" w14:textId="77777777" w:rsidR="00F231D6" w:rsidRPr="005D505F" w:rsidRDefault="00F231D6" w:rsidP="005D505F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D505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CFLA</w:t>
            </w:r>
          </w:p>
          <w:p w14:paraId="2648D2E3" w14:textId="77777777" w:rsidR="00F231D6" w:rsidRDefault="00F231D6" w:rsidP="00332A06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AI</w:t>
            </w:r>
          </w:p>
          <w:p w14:paraId="269C82CC" w14:textId="1E4AAE50" w:rsidR="00071E1F" w:rsidRPr="005D505F" w:rsidRDefault="00071E1F" w:rsidP="00332A06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</w:tcPr>
          <w:p w14:paraId="522CCAC0" w14:textId="60A7122D" w:rsidR="00277945" w:rsidRDefault="0042553A" w:rsidP="005D505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6073">
              <w:rPr>
                <w:rFonts w:ascii="Times New Roman" w:eastAsia="Calibri" w:hAnsi="Times New Roman" w:cs="Times New Roman"/>
                <w:sz w:val="24"/>
                <w:szCs w:val="24"/>
              </w:rPr>
              <w:t>Rekomendācija tiek īstenota ES fondu</w:t>
            </w:r>
            <w:r w:rsidR="00E702AF" w:rsidRPr="00BF60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2021.</w:t>
            </w:r>
            <w:r w:rsidR="00B6712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–</w:t>
            </w:r>
            <w:r w:rsidR="00E702AF" w:rsidRPr="00BF60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2027. </w:t>
            </w:r>
            <w:r w:rsidR="00B671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gada </w:t>
            </w:r>
            <w:r w:rsidR="00E702AF" w:rsidRPr="00BF6073">
              <w:rPr>
                <w:rFonts w:ascii="Times New Roman" w:eastAsia="Calibri" w:hAnsi="Times New Roman" w:cs="Times New Roman"/>
                <w:sz w:val="24"/>
                <w:szCs w:val="24"/>
              </w:rPr>
              <w:t>plānošanas periodā</w:t>
            </w:r>
            <w:r w:rsidR="00CD6B93" w:rsidRPr="00BF60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veicot </w:t>
            </w:r>
            <w:r w:rsidR="005F1C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šādas</w:t>
            </w:r>
            <w:r w:rsidR="005F1C0A" w:rsidRPr="00A266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CD6B93" w:rsidRPr="00A266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darbības</w:t>
            </w:r>
            <w:r w:rsidR="00E702AF" w:rsidRPr="00A26629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Pr="00A266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3AECA7C5" w14:textId="77777777" w:rsidR="002852D5" w:rsidRDefault="002852D5" w:rsidP="005D505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4CD507B" w14:textId="719A7B3B" w:rsidR="00E702AF" w:rsidRDefault="00E702AF" w:rsidP="005D505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266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</w:t>
            </w:r>
            <w:r w:rsidR="0042553A" w:rsidRPr="00A266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ESF+ līdzfinansētā </w:t>
            </w:r>
            <w:r w:rsidRPr="00A266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LM </w:t>
            </w:r>
            <w:r w:rsidR="0042553A" w:rsidRPr="00A266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projekta Nr.4.3.4.1/1/23/I/001 “Vienlīdzīgu iespēju un </w:t>
            </w:r>
            <w:proofErr w:type="spellStart"/>
            <w:r w:rsidR="0042553A" w:rsidRPr="00A26629">
              <w:rPr>
                <w:rFonts w:ascii="Times New Roman" w:eastAsia="Calibri" w:hAnsi="Times New Roman" w:cs="Times New Roman"/>
                <w:sz w:val="24"/>
                <w:szCs w:val="24"/>
              </w:rPr>
              <w:t>nediskriminācijas</w:t>
            </w:r>
            <w:proofErr w:type="spellEnd"/>
            <w:r w:rsidR="0042553A" w:rsidRPr="00A266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veicināšana” ietvaros</w:t>
            </w:r>
            <w:r w:rsidRPr="00A266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tiek v</w:t>
            </w:r>
            <w:r w:rsidRPr="00A2662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eicinātas vienlīdzīgas iespējas un </w:t>
            </w:r>
            <w:proofErr w:type="spellStart"/>
            <w:r w:rsidRPr="00A2662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nediskriminācija</w:t>
            </w:r>
            <w:proofErr w:type="spellEnd"/>
            <w:r w:rsidRPr="00A2662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(tai skaitā kopēja izpratne par </w:t>
            </w:r>
            <w:proofErr w:type="spellStart"/>
            <w:r w:rsidRPr="00A2662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nediskrimināciju</w:t>
            </w:r>
            <w:proofErr w:type="spellEnd"/>
            <w:r w:rsidRPr="00A2662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), īstenojot informatīvus, izglītojošus un metodiskā atbalsta pasākumus politikas plānotājiem, īstenotājiem un darba devējiem.</w:t>
            </w:r>
          </w:p>
          <w:p w14:paraId="731D108A" w14:textId="77777777" w:rsidR="00194463" w:rsidRPr="00A26629" w:rsidRDefault="00194463" w:rsidP="005D505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5B816ED" w14:textId="726F290A" w:rsidR="00E6214D" w:rsidRDefault="00E702AF" w:rsidP="005D50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66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</w:t>
            </w:r>
            <w:r w:rsidR="001075DD" w:rsidRPr="006D59B3">
              <w:rPr>
                <w:rFonts w:ascii="Times New Roman" w:hAnsi="Times New Roman" w:cs="Times New Roman"/>
                <w:sz w:val="24"/>
                <w:szCs w:val="24"/>
              </w:rPr>
              <w:t>LM izstrād</w:t>
            </w:r>
            <w:r w:rsidR="001075DD">
              <w:rPr>
                <w:rFonts w:ascii="Times New Roman" w:hAnsi="Times New Roman" w:cs="Times New Roman"/>
                <w:sz w:val="24"/>
                <w:szCs w:val="24"/>
              </w:rPr>
              <w:t>ātas</w:t>
            </w:r>
            <w:r w:rsidR="001075DD" w:rsidRPr="006D59B3">
              <w:rPr>
                <w:rFonts w:ascii="Times New Roman" w:hAnsi="Times New Roman" w:cs="Times New Roman"/>
                <w:sz w:val="24"/>
                <w:szCs w:val="24"/>
              </w:rPr>
              <w:t xml:space="preserve"> Vadlīnijas </w:t>
            </w:r>
            <w:r w:rsidR="00B67120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="001075DD" w:rsidRPr="006D59B3">
              <w:rPr>
                <w:rFonts w:ascii="Times New Roman" w:hAnsi="Times New Roman" w:cs="Times New Roman"/>
                <w:sz w:val="24"/>
                <w:szCs w:val="24"/>
              </w:rPr>
              <w:t>orizontāl</w:t>
            </w:r>
            <w:r w:rsidR="00B67120">
              <w:rPr>
                <w:rFonts w:ascii="Times New Roman" w:hAnsi="Times New Roman" w:cs="Times New Roman"/>
                <w:sz w:val="24"/>
                <w:szCs w:val="24"/>
              </w:rPr>
              <w:t>ā</w:t>
            </w:r>
            <w:r w:rsidR="001075DD" w:rsidRPr="006D59B3">
              <w:rPr>
                <w:rFonts w:ascii="Times New Roman" w:hAnsi="Times New Roman" w:cs="Times New Roman"/>
                <w:sz w:val="24"/>
                <w:szCs w:val="24"/>
              </w:rPr>
              <w:t xml:space="preserve"> princip</w:t>
            </w:r>
            <w:r w:rsidR="00B6712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1075DD" w:rsidRPr="006D59B3">
              <w:rPr>
                <w:rFonts w:ascii="Times New Roman" w:hAnsi="Times New Roman" w:cs="Times New Roman"/>
                <w:sz w:val="24"/>
                <w:szCs w:val="24"/>
              </w:rPr>
              <w:t xml:space="preserve"> “Vienlīdzība, iekļaušana, </w:t>
            </w:r>
            <w:proofErr w:type="spellStart"/>
            <w:r w:rsidR="001075DD" w:rsidRPr="006D59B3">
              <w:rPr>
                <w:rFonts w:ascii="Times New Roman" w:hAnsi="Times New Roman" w:cs="Times New Roman"/>
                <w:sz w:val="24"/>
                <w:szCs w:val="24"/>
              </w:rPr>
              <w:t>nediskriminācija</w:t>
            </w:r>
            <w:proofErr w:type="spellEnd"/>
            <w:r w:rsidR="001075DD" w:rsidRPr="006D59B3">
              <w:rPr>
                <w:rFonts w:ascii="Times New Roman" w:hAnsi="Times New Roman" w:cs="Times New Roman"/>
                <w:sz w:val="24"/>
                <w:szCs w:val="24"/>
              </w:rPr>
              <w:t xml:space="preserve"> un </w:t>
            </w:r>
            <w:proofErr w:type="spellStart"/>
            <w:r w:rsidR="001075DD" w:rsidRPr="006D59B3">
              <w:rPr>
                <w:rFonts w:ascii="Times New Roman" w:hAnsi="Times New Roman" w:cs="Times New Roman"/>
                <w:sz w:val="24"/>
                <w:szCs w:val="24"/>
              </w:rPr>
              <w:t>pamattiesību</w:t>
            </w:r>
            <w:proofErr w:type="spellEnd"/>
            <w:r w:rsidR="001075DD" w:rsidRPr="006D59B3">
              <w:rPr>
                <w:rFonts w:ascii="Times New Roman" w:hAnsi="Times New Roman" w:cs="Times New Roman"/>
                <w:sz w:val="24"/>
                <w:szCs w:val="24"/>
              </w:rPr>
              <w:t xml:space="preserve"> ievērošana” īstenošanai un uzraudzībai (2021</w:t>
            </w:r>
            <w:r w:rsidR="00B6712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–</w:t>
            </w:r>
            <w:r w:rsidR="001075DD" w:rsidRPr="006D59B3">
              <w:rPr>
                <w:rFonts w:ascii="Times New Roman" w:hAnsi="Times New Roman" w:cs="Times New Roman"/>
                <w:sz w:val="24"/>
                <w:szCs w:val="24"/>
              </w:rPr>
              <w:t>2027)</w:t>
            </w:r>
            <w:r w:rsidR="001075DD">
              <w:rPr>
                <w:rFonts w:ascii="Times New Roman" w:hAnsi="Times New Roman" w:cs="Times New Roman"/>
                <w:sz w:val="24"/>
                <w:szCs w:val="24"/>
              </w:rPr>
              <w:t xml:space="preserve"> paredz plašu vispārīgo un specifisko darbību spektru </w:t>
            </w:r>
            <w:r w:rsidR="001075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visās </w:t>
            </w:r>
            <w:proofErr w:type="spellStart"/>
            <w:r w:rsidR="001075DD">
              <w:rPr>
                <w:rFonts w:ascii="Times New Roman" w:eastAsia="Calibri" w:hAnsi="Times New Roman" w:cs="Times New Roman"/>
                <w:sz w:val="24"/>
                <w:szCs w:val="24"/>
              </w:rPr>
              <w:t>nediskriminācijas</w:t>
            </w:r>
            <w:proofErr w:type="spellEnd"/>
            <w:r w:rsidR="001075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jomās</w:t>
            </w:r>
            <w:r w:rsidR="001075D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7C5D2F">
              <w:rPr>
                <w:rFonts w:ascii="Times New Roman" w:hAnsi="Times New Roman" w:cs="Times New Roman"/>
                <w:sz w:val="24"/>
                <w:szCs w:val="24"/>
              </w:rPr>
              <w:t xml:space="preserve">Pilnveidota </w:t>
            </w:r>
            <w:r w:rsidR="007C5D2F" w:rsidRPr="007C5D2F">
              <w:rPr>
                <w:rFonts w:ascii="Times New Roman" w:hAnsi="Times New Roman" w:cs="Times New Roman"/>
                <w:sz w:val="24"/>
                <w:szCs w:val="24"/>
              </w:rPr>
              <w:t>HP tīmekļa vietn</w:t>
            </w:r>
            <w:r w:rsidR="007C5D2F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7C5D2F" w:rsidRPr="007C5D2F">
              <w:rPr>
                <w:rFonts w:ascii="Times New Roman" w:hAnsi="Times New Roman" w:cs="Times New Roman"/>
                <w:sz w:val="24"/>
                <w:szCs w:val="24"/>
              </w:rPr>
              <w:t>, papildinot ar katram diskriminācijas veidam veltītu  šķirkļi, kurā publicēta atbilstoša informācija par HP VI jautājumiem, tiesību aktiem, instrukcijām un izglītojošiem un informatīviem materiāliem</w:t>
            </w:r>
            <w:r w:rsidR="00AC79C3">
              <w:rPr>
                <w:rFonts w:ascii="Times New Roman" w:hAnsi="Times New Roman" w:cs="Times New Roman"/>
                <w:sz w:val="24"/>
                <w:szCs w:val="24"/>
              </w:rPr>
              <w:t xml:space="preserve"> (skatīt šeit: </w:t>
            </w:r>
            <w:hyperlink r:id="rId8" w:history="1">
              <w:r w:rsidR="00AC79C3" w:rsidRPr="007D051E">
                <w:rPr>
                  <w:rStyle w:val="Hipersaite"/>
                  <w:rFonts w:ascii="Times New Roman" w:hAnsi="Times New Roman" w:cs="Times New Roman"/>
                  <w:sz w:val="24"/>
                  <w:szCs w:val="24"/>
                </w:rPr>
                <w:t>https://www.lm.gov.lv/lv/par-horizontalo-principu</w:t>
              </w:r>
            </w:hyperlink>
            <w:r w:rsidR="00AC79C3">
              <w:rPr>
                <w:rFonts w:ascii="Times New Roman" w:hAnsi="Times New Roman" w:cs="Times New Roman"/>
                <w:sz w:val="24"/>
                <w:szCs w:val="24"/>
              </w:rPr>
              <w:t xml:space="preserve"> ).</w:t>
            </w:r>
          </w:p>
          <w:p w14:paraId="5AD65584" w14:textId="77777777" w:rsidR="00194463" w:rsidRPr="00A26629" w:rsidRDefault="00194463" w:rsidP="005D50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AE12A2" w14:textId="167DDB3C" w:rsidR="00F231D6" w:rsidRDefault="00E6214D" w:rsidP="005D505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</w:t>
            </w:r>
            <w:r w:rsidR="0042553A" w:rsidRPr="00A26629">
              <w:rPr>
                <w:rFonts w:ascii="Times New Roman" w:eastAsia="Calibri" w:hAnsi="Times New Roman" w:cs="Times New Roman"/>
                <w:sz w:val="24"/>
                <w:szCs w:val="24"/>
              </w:rPr>
              <w:t>SAM īstenošanas MK noteikumos</w:t>
            </w:r>
            <w:r w:rsidR="00E702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visos prioritārajos virzienos</w:t>
            </w:r>
            <w:r w:rsidR="0042553A" w:rsidRPr="00A266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tiek </w:t>
            </w:r>
            <w:r w:rsidR="002F0ACB">
              <w:rPr>
                <w:rFonts w:ascii="Times New Roman" w:eastAsia="Calibri" w:hAnsi="Times New Roman" w:cs="Times New Roman"/>
                <w:sz w:val="24"/>
                <w:szCs w:val="24"/>
              </w:rPr>
              <w:t>paredzētas</w:t>
            </w:r>
            <w:r w:rsidR="0042553A" w:rsidRPr="00A266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gan </w:t>
            </w:r>
            <w:r w:rsidR="00E702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HP </w:t>
            </w:r>
            <w:r w:rsidR="0042553A" w:rsidRPr="00A266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atbalstāmās darbības, gan </w:t>
            </w:r>
            <w:r w:rsidR="00E702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HP </w:t>
            </w:r>
            <w:r w:rsidR="0042553A" w:rsidRPr="00A26629">
              <w:rPr>
                <w:rFonts w:ascii="Times New Roman" w:eastAsia="Calibri" w:hAnsi="Times New Roman" w:cs="Times New Roman"/>
                <w:sz w:val="24"/>
                <w:szCs w:val="24"/>
              </w:rPr>
              <w:t>rādītāji</w:t>
            </w:r>
            <w:r w:rsidR="00E702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kas </w:t>
            </w:r>
            <w:r w:rsidR="00E702AF" w:rsidRPr="00BF607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skar visas </w:t>
            </w:r>
            <w:proofErr w:type="spellStart"/>
            <w:r w:rsidR="00E702AF" w:rsidRPr="00BF607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nediskriminācijas</w:t>
            </w:r>
            <w:proofErr w:type="spellEnd"/>
            <w:r w:rsidR="00E702AF" w:rsidRPr="00BF607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jomas</w:t>
            </w:r>
            <w:r w:rsidR="0042553A" w:rsidRPr="00A2662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LM piedal</w:t>
            </w:r>
            <w:r w:rsidR="002F0ACB">
              <w:rPr>
                <w:rFonts w:ascii="Times New Roman" w:eastAsia="Calibri" w:hAnsi="Times New Roman" w:cs="Times New Roman"/>
                <w:sz w:val="24"/>
                <w:szCs w:val="24"/>
              </w:rPr>
              <w:t>ās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projektu iesniegumu vērtēšanas kritēriju metodiku AK un UK saskaņošanas procedūrās, lai nodrošinātu HP VI principu iekļaušanu visos ES fondu projektos.</w:t>
            </w:r>
          </w:p>
          <w:p w14:paraId="6E21772A" w14:textId="096FA8DE" w:rsidR="00194463" w:rsidRPr="005D505F" w:rsidRDefault="00194463" w:rsidP="005D505F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231D6" w:rsidRPr="005D505F" w14:paraId="0923F9C9" w14:textId="14E56904" w:rsidTr="00BF6073">
        <w:tc>
          <w:tcPr>
            <w:tcW w:w="792" w:type="dxa"/>
          </w:tcPr>
          <w:p w14:paraId="411DAD5B" w14:textId="75505673" w:rsidR="00F231D6" w:rsidRPr="005D505F" w:rsidRDefault="004718BA" w:rsidP="005D505F">
            <w:pPr>
              <w:spacing w:before="240" w:after="24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  <w:r w:rsidR="00F231D6" w:rsidRPr="005D505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320" w:type="dxa"/>
          </w:tcPr>
          <w:p w14:paraId="6FEE33C5" w14:textId="77777777" w:rsidR="00B521CA" w:rsidRDefault="00B521CA" w:rsidP="00B521CA">
            <w:pPr>
              <w:ind w:right="-11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bookmarkStart w:id="1" w:name="_Hlk127533598"/>
          </w:p>
          <w:p w14:paraId="7153258A" w14:textId="025D3DE6" w:rsidR="000F2FDF" w:rsidRDefault="00B521CA" w:rsidP="00B521CA">
            <w:pPr>
              <w:ind w:right="-1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1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HP </w:t>
            </w:r>
            <w:r w:rsidR="000F2F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VI </w:t>
            </w:r>
            <w:r w:rsidRPr="00B521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uzraudzības sistēmā konstatētas nepilnības</w:t>
            </w:r>
            <w:r w:rsidRPr="00B521CA">
              <w:rPr>
                <w:rFonts w:ascii="Times New Roman" w:eastAsia="Calibri" w:hAnsi="Times New Roman" w:cs="Times New Roman"/>
                <w:sz w:val="24"/>
                <w:szCs w:val="24"/>
              </w:rPr>
              <w:t>, kas ierobežoja iespēju pilnvērtīgi izvērtēt HP pasākumu ietekmi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uz ES fondu īstenošanu</w:t>
            </w:r>
            <w:r w:rsidR="000F2FDF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14:paraId="4628DCD5" w14:textId="0CC1D1A0" w:rsidR="00B521CA" w:rsidRDefault="000F2FDF" w:rsidP="00B521CA">
            <w:pPr>
              <w:ind w:right="-1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a)</w:t>
            </w:r>
            <w:r w:rsidR="00B521CA" w:rsidRPr="00B521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ņ</w:t>
            </w:r>
            <w:r w:rsidR="00B521CA" w:rsidRPr="00B521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emot vērā, ka lielākā daļa HP rādītāju ir vērtējami tikai kontekstā ar kvalitatīvo analīzi, kas ir iegūstama </w:t>
            </w:r>
            <w:proofErr w:type="spellStart"/>
            <w:r w:rsidR="00BB2861">
              <w:rPr>
                <w:rFonts w:ascii="Times New Roman" w:eastAsia="Calibri" w:hAnsi="Times New Roman" w:cs="Times New Roman"/>
                <w:sz w:val="24"/>
                <w:szCs w:val="24"/>
              </w:rPr>
              <w:t>i</w:t>
            </w:r>
            <w:r w:rsidR="00B521CA" w:rsidRPr="00B521CA">
              <w:rPr>
                <w:rFonts w:ascii="Times New Roman" w:eastAsia="Calibri" w:hAnsi="Times New Roman" w:cs="Times New Roman"/>
                <w:sz w:val="24"/>
                <w:szCs w:val="24"/>
              </w:rPr>
              <w:t>zvērtējumos</w:t>
            </w:r>
            <w:proofErr w:type="spellEnd"/>
            <w:r w:rsidR="00B521CA" w:rsidRPr="00B521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trūka pietiekami detalizētu un salīdzināmu datu, </w:t>
            </w:r>
            <w:r w:rsidR="00B521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kā arī </w:t>
            </w:r>
            <w:r w:rsidR="00B521CA" w:rsidRPr="00B521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nebija skaidri definētu kritēriju rezultātu mērīšanai. </w:t>
            </w:r>
          </w:p>
          <w:p w14:paraId="7B39C52E" w14:textId="3CC51A22" w:rsidR="00B521CA" w:rsidRPr="00B521CA" w:rsidRDefault="000F2FDF" w:rsidP="000F2FDF">
            <w:pPr>
              <w:ind w:right="-1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b) </w:t>
            </w:r>
            <w:r w:rsidR="00B521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HP rādītāji un darbības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nav</w:t>
            </w:r>
            <w:r w:rsidR="00B521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iekļautas MKN par SAM īstenošanu, līdz ar to FS nesaskatīja saistību starp projekta īstenotajām darbībām un HP darbībām un rādītājiem.</w:t>
            </w:r>
          </w:p>
          <w:bookmarkEnd w:id="1"/>
          <w:p w14:paraId="2A90421E" w14:textId="188487CB" w:rsidR="007B7042" w:rsidRPr="005D505F" w:rsidRDefault="007B7042" w:rsidP="000F2FDF">
            <w:pPr>
              <w:spacing w:before="240" w:after="24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</w:tcPr>
          <w:p w14:paraId="55C6A747" w14:textId="07CBC4F1" w:rsidR="00CA5256" w:rsidRDefault="00F231D6" w:rsidP="005D505F">
            <w:pPr>
              <w:spacing w:before="240" w:after="24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D505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Problēmas risinājums</w:t>
            </w:r>
            <w:r w:rsidR="003023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nākamajos ES fondu plānošanas periodos</w:t>
            </w:r>
            <w:r w:rsidRPr="005D505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023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paredz rīcības</w:t>
            </w:r>
            <w:r w:rsidRPr="005D505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3135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divos</w:t>
            </w:r>
            <w:r w:rsidRPr="005D505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virzienos – </w:t>
            </w:r>
            <w:r w:rsidR="003023F9" w:rsidRPr="005D505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stratēģisk</w:t>
            </w:r>
            <w:r w:rsidR="003023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as</w:t>
            </w:r>
            <w:r w:rsidR="003023F9" w:rsidRPr="005D505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D505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un </w:t>
            </w:r>
            <w:r w:rsidR="003023F9" w:rsidRPr="005D505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tehnisk</w:t>
            </w:r>
            <w:r w:rsidR="003023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as darbības</w:t>
            </w:r>
            <w:r w:rsidRPr="005D505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7B454C5E" w14:textId="7C0D230F" w:rsidR="00F231D6" w:rsidRDefault="00F231D6" w:rsidP="005D505F">
            <w:pPr>
              <w:spacing w:before="240" w:after="24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D505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Nepieciešams turpināt konsultatīvo atbalstu, informējot </w:t>
            </w:r>
            <w:r w:rsidR="0080400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ES fondu vadībā un īstenošanā iesaistītās iestādes un </w:t>
            </w:r>
            <w:r w:rsidR="003023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FS</w:t>
            </w:r>
            <w:r w:rsidRPr="005D505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par </w:t>
            </w:r>
            <w:r w:rsidR="000F2F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HP īstenošanas iespējām. </w:t>
            </w:r>
          </w:p>
          <w:p w14:paraId="276FE823" w14:textId="175C4380" w:rsidR="0012345E" w:rsidRPr="005D505F" w:rsidRDefault="0012345E" w:rsidP="005D505F">
            <w:pPr>
              <w:spacing w:before="240" w:after="24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Nepieciešams vienkāršot HP ieviešanas sistēmu</w:t>
            </w:r>
            <w:r w:rsidR="00FF198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– gan tehnisk</w:t>
            </w:r>
            <w:r w:rsidR="004D1F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i uzlabojot</w:t>
            </w:r>
            <w:r w:rsidR="00FF198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HP VI ievadi KPVIS, gan maksimāli integrējot HP darbības MK noteikumos par SAM īstenošanu kā atbalstāmās darbības. </w:t>
            </w:r>
          </w:p>
          <w:p w14:paraId="2C8F9954" w14:textId="4D175B6D" w:rsidR="00F231D6" w:rsidRPr="005D505F" w:rsidRDefault="00F231D6" w:rsidP="005D505F">
            <w:pPr>
              <w:spacing w:before="240" w:after="24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BF9E3A4" w14:textId="77777777" w:rsidR="00F231D6" w:rsidRPr="005D505F" w:rsidRDefault="00F231D6" w:rsidP="005D505F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5C9EBFED" w14:textId="0D4116C7" w:rsidR="00F231D6" w:rsidRPr="005D505F" w:rsidRDefault="00F231D6" w:rsidP="005D505F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D505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Stratēģisk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</w:t>
            </w:r>
          </w:p>
          <w:p w14:paraId="5135CD86" w14:textId="77777777" w:rsidR="00F231D6" w:rsidRPr="005D505F" w:rsidRDefault="00F231D6" w:rsidP="005D505F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D505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Tehnisks</w:t>
            </w:r>
          </w:p>
        </w:tc>
        <w:tc>
          <w:tcPr>
            <w:tcW w:w="1418" w:type="dxa"/>
          </w:tcPr>
          <w:p w14:paraId="181A7323" w14:textId="77777777" w:rsidR="00F231D6" w:rsidRPr="005D505F" w:rsidRDefault="00F231D6" w:rsidP="005D505F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49BFB6F1" w14:textId="17618233" w:rsidR="00F231D6" w:rsidRPr="005D505F" w:rsidRDefault="00F231D6" w:rsidP="005D505F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D505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LM, </w:t>
            </w:r>
            <w:r w:rsidR="0080400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VI, </w:t>
            </w:r>
            <w:r w:rsidRPr="005D505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CFLA, </w:t>
            </w:r>
          </w:p>
          <w:p w14:paraId="5ADA225A" w14:textId="53FA5E90" w:rsidR="00F231D6" w:rsidRPr="005D505F" w:rsidRDefault="00F231D6" w:rsidP="005D505F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D505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AI </w:t>
            </w:r>
          </w:p>
          <w:p w14:paraId="7D64B8A0" w14:textId="77777777" w:rsidR="00F231D6" w:rsidRPr="005D505F" w:rsidRDefault="00F231D6" w:rsidP="005D505F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1C0BBB7A" w14:textId="77777777" w:rsidR="00F231D6" w:rsidRPr="005D505F" w:rsidRDefault="00F231D6" w:rsidP="005D505F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</w:tcPr>
          <w:p w14:paraId="0D43D6B0" w14:textId="77777777" w:rsidR="00194463" w:rsidRDefault="00194463" w:rsidP="00F5611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CC699AC" w14:textId="2587444D" w:rsidR="00194463" w:rsidRDefault="00194463" w:rsidP="0008169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59B3">
              <w:rPr>
                <w:rFonts w:ascii="Times New Roman" w:eastAsia="Calibri" w:hAnsi="Times New Roman" w:cs="Times New Roman"/>
                <w:sz w:val="24"/>
                <w:szCs w:val="24"/>
              </w:rPr>
              <w:t>Rekomendācija tiek īstenota ES fondu 2021.</w:t>
            </w:r>
            <w:r w:rsidR="004D1F1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–</w:t>
            </w:r>
            <w:r w:rsidRPr="006D59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2027. plānošanas periodā, veicot </w:t>
            </w:r>
            <w:r w:rsidR="005F1C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šādas</w:t>
            </w:r>
            <w:r w:rsidR="005F1C0A" w:rsidRPr="006D59B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6D59B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darbības</w:t>
            </w:r>
            <w:r w:rsidRPr="006D59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</w:p>
          <w:p w14:paraId="1A3EE7C0" w14:textId="0BF5020D" w:rsidR="00B521CA" w:rsidRDefault="00194463" w:rsidP="00BF60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</w:t>
            </w:r>
            <w:r w:rsidRPr="006D59B3">
              <w:rPr>
                <w:rFonts w:ascii="Times New Roman" w:hAnsi="Times New Roman" w:cs="Times New Roman"/>
                <w:sz w:val="24"/>
                <w:szCs w:val="24"/>
              </w:rPr>
              <w:t xml:space="preserve">LM </w:t>
            </w:r>
            <w:r w:rsidR="00B521CA">
              <w:rPr>
                <w:rFonts w:ascii="Times New Roman" w:hAnsi="Times New Roman" w:cs="Times New Roman"/>
                <w:sz w:val="24"/>
                <w:szCs w:val="24"/>
              </w:rPr>
              <w:t xml:space="preserve">2021.gadā izstrādāja </w:t>
            </w:r>
            <w:r w:rsidRPr="006D59B3">
              <w:rPr>
                <w:rFonts w:ascii="Times New Roman" w:hAnsi="Times New Roman" w:cs="Times New Roman"/>
                <w:sz w:val="24"/>
                <w:szCs w:val="24"/>
              </w:rPr>
              <w:t>Vadlīnij</w:t>
            </w:r>
            <w:r w:rsidR="00B521CA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384990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6D59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D1F1B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6D59B3">
              <w:rPr>
                <w:rFonts w:ascii="Times New Roman" w:hAnsi="Times New Roman" w:cs="Times New Roman"/>
                <w:sz w:val="24"/>
                <w:szCs w:val="24"/>
              </w:rPr>
              <w:t>orizontāl</w:t>
            </w:r>
            <w:r w:rsidR="004D1F1B">
              <w:rPr>
                <w:rFonts w:ascii="Times New Roman" w:hAnsi="Times New Roman" w:cs="Times New Roman"/>
                <w:sz w:val="24"/>
                <w:szCs w:val="24"/>
              </w:rPr>
              <w:t>ā</w:t>
            </w:r>
            <w:r w:rsidRPr="006D59B3">
              <w:rPr>
                <w:rFonts w:ascii="Times New Roman" w:hAnsi="Times New Roman" w:cs="Times New Roman"/>
                <w:sz w:val="24"/>
                <w:szCs w:val="24"/>
              </w:rPr>
              <w:t xml:space="preserve"> princip</w:t>
            </w:r>
            <w:r w:rsidR="004D1F1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6D59B3">
              <w:rPr>
                <w:rFonts w:ascii="Times New Roman" w:hAnsi="Times New Roman" w:cs="Times New Roman"/>
                <w:sz w:val="24"/>
                <w:szCs w:val="24"/>
              </w:rPr>
              <w:t xml:space="preserve"> “Vienlīdzība, iekļaušana, </w:t>
            </w:r>
            <w:proofErr w:type="spellStart"/>
            <w:r w:rsidRPr="006D59B3">
              <w:rPr>
                <w:rFonts w:ascii="Times New Roman" w:hAnsi="Times New Roman" w:cs="Times New Roman"/>
                <w:sz w:val="24"/>
                <w:szCs w:val="24"/>
              </w:rPr>
              <w:t>nediskriminācija</w:t>
            </w:r>
            <w:proofErr w:type="spellEnd"/>
            <w:r w:rsidRPr="006D59B3">
              <w:rPr>
                <w:rFonts w:ascii="Times New Roman" w:hAnsi="Times New Roman" w:cs="Times New Roman"/>
                <w:sz w:val="24"/>
                <w:szCs w:val="24"/>
              </w:rPr>
              <w:t xml:space="preserve"> un </w:t>
            </w:r>
            <w:proofErr w:type="spellStart"/>
            <w:r w:rsidRPr="006D59B3">
              <w:rPr>
                <w:rFonts w:ascii="Times New Roman" w:hAnsi="Times New Roman" w:cs="Times New Roman"/>
                <w:sz w:val="24"/>
                <w:szCs w:val="24"/>
              </w:rPr>
              <w:t>pamattiesību</w:t>
            </w:r>
            <w:proofErr w:type="spellEnd"/>
            <w:r w:rsidRPr="006D59B3">
              <w:rPr>
                <w:rFonts w:ascii="Times New Roman" w:hAnsi="Times New Roman" w:cs="Times New Roman"/>
                <w:sz w:val="24"/>
                <w:szCs w:val="24"/>
              </w:rPr>
              <w:t xml:space="preserve"> ievērošana” īstenošanai un uzraudzībai (2021</w:t>
            </w:r>
            <w:r w:rsidR="004D1F1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–</w:t>
            </w:r>
            <w:r w:rsidRPr="006D59B3">
              <w:rPr>
                <w:rFonts w:ascii="Times New Roman" w:hAnsi="Times New Roman" w:cs="Times New Roman"/>
                <w:sz w:val="24"/>
                <w:szCs w:val="24"/>
              </w:rPr>
              <w:t>2027)</w:t>
            </w:r>
            <w:r w:rsidR="00B521CA">
              <w:rPr>
                <w:rFonts w:ascii="Times New Roman" w:hAnsi="Times New Roman" w:cs="Times New Roman"/>
                <w:sz w:val="24"/>
                <w:szCs w:val="24"/>
              </w:rPr>
              <w:t>, kas tika integrētas KPVIS: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29F5425" w14:textId="58DE4FCC" w:rsidR="00B521CA" w:rsidRPr="00BB2861" w:rsidRDefault="00B521CA" w:rsidP="00BB2861">
            <w:pPr>
              <w:pStyle w:val="Sarakstarindkopa"/>
              <w:numPr>
                <w:ilvl w:val="0"/>
                <w:numId w:val="5"/>
              </w:numPr>
              <w:ind w:left="3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861">
              <w:rPr>
                <w:rFonts w:ascii="Times New Roman" w:hAnsi="Times New Roman" w:cs="Times New Roman"/>
                <w:sz w:val="24"/>
                <w:szCs w:val="24"/>
              </w:rPr>
              <w:t>tika paredzēta iespēja katr</w:t>
            </w:r>
            <w:r w:rsidR="007D039A" w:rsidRPr="00BB2861">
              <w:rPr>
                <w:rFonts w:ascii="Times New Roman" w:hAnsi="Times New Roman" w:cs="Times New Roman"/>
                <w:sz w:val="24"/>
                <w:szCs w:val="24"/>
              </w:rPr>
              <w:t>ai</w:t>
            </w:r>
            <w:r w:rsidRPr="00BB2861">
              <w:rPr>
                <w:rFonts w:ascii="Times New Roman" w:hAnsi="Times New Roman" w:cs="Times New Roman"/>
                <w:sz w:val="24"/>
                <w:szCs w:val="24"/>
              </w:rPr>
              <w:t xml:space="preserve"> projekta </w:t>
            </w:r>
            <w:r w:rsidRPr="00BB2861">
              <w:rPr>
                <w:rFonts w:ascii="Times New Roman" w:hAnsi="Times New Roman" w:cs="Times New Roman"/>
                <w:bCs/>
                <w:sz w:val="24"/>
                <w:szCs w:val="24"/>
              </w:rPr>
              <w:t>darbīb</w:t>
            </w:r>
            <w:r w:rsidR="007D039A" w:rsidRPr="00BB2861">
              <w:rPr>
                <w:rFonts w:ascii="Times New Roman" w:hAnsi="Times New Roman" w:cs="Times New Roman"/>
                <w:bCs/>
                <w:sz w:val="24"/>
                <w:szCs w:val="24"/>
              </w:rPr>
              <w:t>ai</w:t>
            </w:r>
            <w:r w:rsidR="00BB286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kur attiecināms, </w:t>
            </w:r>
            <w:r w:rsidRPr="00BB286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D039A" w:rsidRPr="00BB2861">
              <w:rPr>
                <w:rFonts w:ascii="Times New Roman" w:hAnsi="Times New Roman" w:cs="Times New Roman"/>
                <w:bCs/>
                <w:sz w:val="24"/>
                <w:szCs w:val="24"/>
              </w:rPr>
              <w:t>pie</w:t>
            </w:r>
            <w:r w:rsidRPr="00BB2861">
              <w:rPr>
                <w:rFonts w:ascii="Times New Roman" w:hAnsi="Times New Roman" w:cs="Times New Roman"/>
                <w:bCs/>
                <w:sz w:val="24"/>
                <w:szCs w:val="24"/>
              </w:rPr>
              <w:t>saistīt atbilstošu HP darbību</w:t>
            </w:r>
            <w:r w:rsidR="007D039A" w:rsidRPr="00BB286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D039A">
              <w:rPr>
                <w:rFonts w:ascii="Times New Roman" w:hAnsi="Times New Roman" w:cs="Times New Roman"/>
                <w:bCs/>
                <w:sz w:val="24"/>
                <w:szCs w:val="24"/>
              </w:rPr>
              <w:t>un</w:t>
            </w:r>
            <w:r w:rsidRPr="00BB286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84990" w:rsidRPr="00BB2861">
              <w:rPr>
                <w:rFonts w:ascii="Times New Roman" w:hAnsi="Times New Roman" w:cs="Times New Roman"/>
                <w:bCs/>
                <w:sz w:val="24"/>
                <w:szCs w:val="24"/>
              </w:rPr>
              <w:t>sasniedzam</w:t>
            </w:r>
            <w:r w:rsidR="007D039A">
              <w:rPr>
                <w:rFonts w:ascii="Times New Roman" w:hAnsi="Times New Roman" w:cs="Times New Roman"/>
                <w:bCs/>
                <w:sz w:val="24"/>
                <w:szCs w:val="24"/>
              </w:rPr>
              <w:t>o</w:t>
            </w:r>
            <w:r w:rsidR="00384990" w:rsidRPr="00BB286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HP rādītāj</w:t>
            </w:r>
            <w:r w:rsidR="007D039A">
              <w:rPr>
                <w:rFonts w:ascii="Times New Roman" w:hAnsi="Times New Roman" w:cs="Times New Roman"/>
                <w:bCs/>
                <w:sz w:val="24"/>
                <w:szCs w:val="24"/>
              </w:rPr>
              <w:t>u</w:t>
            </w:r>
            <w:r w:rsidRPr="00BB2861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  <w:r w:rsidR="00384990" w:rsidRPr="00BB286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40224B85" w14:textId="0293A46C" w:rsidR="00194463" w:rsidRPr="000F2FDF" w:rsidRDefault="00BB2861" w:rsidP="00BB2861">
            <w:pPr>
              <w:pStyle w:val="Sarakstarindkopa"/>
              <w:numPr>
                <w:ilvl w:val="0"/>
                <w:numId w:val="5"/>
              </w:numPr>
              <w:ind w:left="3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katrai HP darbībai </w:t>
            </w:r>
            <w:r w:rsidR="007D039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FS ir jāsniedz skaidrojums par to kā tieši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tā tiks īstenota</w:t>
            </w:r>
            <w:r w:rsidR="007D039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tādējādi </w:t>
            </w:r>
            <w:r w:rsidR="00384990" w:rsidRPr="000F2FD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D039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samazinot iespēju piesaistīt neatbilstošas HP darbības vai rādītājus. </w:t>
            </w:r>
          </w:p>
          <w:p w14:paraId="0FA804A4" w14:textId="2DA2B9FB" w:rsidR="00194463" w:rsidRPr="002B1B18" w:rsidRDefault="00194463" w:rsidP="00BF60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66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</w:t>
            </w:r>
            <w:r w:rsidR="00BD5543">
              <w:rPr>
                <w:rFonts w:ascii="Times New Roman" w:eastAsia="Calibri" w:hAnsi="Times New Roman" w:cs="Times New Roman"/>
                <w:sz w:val="24"/>
                <w:szCs w:val="24"/>
              </w:rPr>
              <w:t>2024./</w:t>
            </w:r>
            <w:r w:rsidR="00384990" w:rsidRPr="00A26629">
              <w:rPr>
                <w:rFonts w:ascii="Times New Roman" w:eastAsia="Calibri" w:hAnsi="Times New Roman" w:cs="Times New Roman"/>
                <w:sz w:val="24"/>
                <w:szCs w:val="24"/>
              </w:rPr>
              <w:t>2025.</w:t>
            </w:r>
            <w:r w:rsidR="004D1F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384990" w:rsidRPr="00A266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gadā </w:t>
            </w:r>
            <w:r w:rsidRPr="00A266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LM sadarbībā ar CFLA </w:t>
            </w:r>
            <w:r w:rsidRPr="00BC1193">
              <w:rPr>
                <w:rFonts w:ascii="Times New Roman" w:eastAsia="Calibri" w:hAnsi="Times New Roman" w:cs="Times New Roman"/>
                <w:sz w:val="24"/>
                <w:szCs w:val="24"/>
              </w:rPr>
              <w:t>veica uzlabojumus KPVIS</w:t>
            </w:r>
            <w:r w:rsidR="00384990" w:rsidRPr="00BC11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BB28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projekta iesnieguma </w:t>
            </w:r>
            <w:r w:rsidR="00384990" w:rsidRPr="00A26629">
              <w:rPr>
                <w:rFonts w:ascii="Times New Roman" w:hAnsi="Times New Roman" w:cs="Times New Roman"/>
                <w:sz w:val="24"/>
                <w:szCs w:val="24"/>
              </w:rPr>
              <w:t>funkcionalitātē HP darbību un rādītāju sadaļā</w:t>
            </w:r>
            <w:r w:rsidR="00384990">
              <w:rPr>
                <w:rFonts w:ascii="Times New Roman" w:hAnsi="Times New Roman" w:cs="Times New Roman"/>
                <w:sz w:val="24"/>
                <w:szCs w:val="24"/>
              </w:rPr>
              <w:t>, kas mazinās FS kļūdu iespējamību, ievadāmās informācijas saturisko un tehnisko kvalitāti</w:t>
            </w:r>
            <w:r w:rsidR="00384990" w:rsidRPr="00A266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5D66691" w14:textId="77777777" w:rsidR="00194463" w:rsidRPr="00A26629" w:rsidRDefault="00194463" w:rsidP="00BF60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CE190B9" w14:textId="751766AC" w:rsidR="00194463" w:rsidRDefault="00194463" w:rsidP="00BF60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LM piedalās CFLA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vebināros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projektu pieteicējiem/FS, skaidrojot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HP prasības atbilstoši SAM pasākuma MK noteikumiem un no tiem izrietošas iespējas HP principus integrēt projektos. Prezentācijas un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vebināru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ieraksti ir pieejami projektu iesniedzējiem un FS CFLA mājas lapā.</w:t>
            </w:r>
          </w:p>
          <w:p w14:paraId="639E8765" w14:textId="4EAC7A89" w:rsidR="003B2634" w:rsidRPr="0008169B" w:rsidRDefault="000F2FDF" w:rsidP="00BF60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3B26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="005F4A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Atbilstoši </w:t>
            </w:r>
            <w:r w:rsidR="005F4A52" w:rsidRPr="005F4A52">
              <w:rPr>
                <w:rFonts w:ascii="Times New Roman" w:eastAsia="Calibri" w:hAnsi="Times New Roman" w:cs="Times New Roman"/>
                <w:sz w:val="24"/>
                <w:szCs w:val="24"/>
              </w:rPr>
              <w:t>grozījumi</w:t>
            </w:r>
            <w:r w:rsidR="005F4A52">
              <w:rPr>
                <w:rFonts w:ascii="Times New Roman" w:eastAsia="Calibri" w:hAnsi="Times New Roman" w:cs="Times New Roman"/>
                <w:sz w:val="24"/>
                <w:szCs w:val="24"/>
              </w:rPr>
              <w:t>em</w:t>
            </w:r>
            <w:r w:rsidR="005F4A52" w:rsidRPr="005F4A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MK Kārtības rullī</w:t>
            </w:r>
            <w:r w:rsidR="00BB2861">
              <w:rPr>
                <w:rStyle w:val="Vresatsauce"/>
                <w:rFonts w:ascii="Times New Roman" w:eastAsia="Calibri" w:hAnsi="Times New Roman" w:cs="Times New Roman"/>
                <w:sz w:val="24"/>
                <w:szCs w:val="24"/>
              </w:rPr>
              <w:footnoteReference w:id="1"/>
            </w:r>
            <w:r w:rsidR="005F4A52" w:rsidRPr="005F4A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tiesību aktu izstrādātājiem </w:t>
            </w:r>
            <w:r w:rsidR="00C469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ir pienākums </w:t>
            </w:r>
            <w:r w:rsidR="005F4A52" w:rsidRPr="005F4A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saskaņot ar LM tiesību aktu projektus ES fondu jomā, kas skar horizontālo principu, </w:t>
            </w:r>
            <w:r w:rsidR="00C469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tostarp tiek īstenota </w:t>
            </w:r>
            <w:r w:rsidR="005F4A52" w:rsidRPr="005F4A52">
              <w:rPr>
                <w:rFonts w:ascii="Times New Roman" w:eastAsia="Calibri" w:hAnsi="Times New Roman" w:cs="Times New Roman"/>
                <w:sz w:val="24"/>
                <w:szCs w:val="24"/>
              </w:rPr>
              <w:t>HP darbību un rādītāju iekļaušanu MK noteikumos par ES fondu īstenošanu</w:t>
            </w:r>
            <w:r w:rsidR="00C469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kā arī MK noteikumu anotācijās tiek iekļauta informācija par MK noteikumu ietekmi uz dzimumu līdztiesību un personu ar invaliditāti vienlīdzīgām iespējām. </w:t>
            </w:r>
          </w:p>
          <w:p w14:paraId="3FFA8184" w14:textId="7D50B94C" w:rsidR="00194463" w:rsidRPr="005D505F" w:rsidRDefault="00194463" w:rsidP="00BF6073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231D6" w:rsidRPr="005D505F" w14:paraId="7C42E9BD" w14:textId="167B0AF8" w:rsidTr="00BF6073">
        <w:tc>
          <w:tcPr>
            <w:tcW w:w="792" w:type="dxa"/>
          </w:tcPr>
          <w:p w14:paraId="2573E4A3" w14:textId="3B392497" w:rsidR="00F231D6" w:rsidRPr="005D505F" w:rsidRDefault="004718BA" w:rsidP="005D505F">
            <w:pPr>
              <w:spacing w:before="240" w:after="24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  <w:r w:rsidR="00F231D6" w:rsidRPr="005D505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320" w:type="dxa"/>
          </w:tcPr>
          <w:p w14:paraId="6A170553" w14:textId="56C59073" w:rsidR="00F231D6" w:rsidRPr="005D505F" w:rsidRDefault="00C803FD" w:rsidP="005D505F">
            <w:pPr>
              <w:spacing w:before="240" w:after="24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F6073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2014.</w:t>
            </w:r>
            <w:r w:rsidR="00FF22D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–</w:t>
            </w:r>
            <w:r w:rsidRPr="00BF6073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2020. periodā </w:t>
            </w:r>
            <w:r w:rsidR="00F231D6" w:rsidRPr="00BF6073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HP VI koordinēšan</w:t>
            </w:r>
            <w:r w:rsidR="00B02BC1" w:rsidRPr="00BF6073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a</w:t>
            </w:r>
            <w:r w:rsidRPr="00BF6073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i</w:t>
            </w:r>
            <w:r w:rsidR="00B02BC1" w:rsidRPr="00BF6073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ir bijusi</w:t>
            </w:r>
            <w:r w:rsidR="00F231D6" w:rsidRPr="00BF6073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B02BC1" w:rsidRPr="00BF6073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zema cilvēkresursu un finanšu </w:t>
            </w:r>
            <w:r w:rsidR="00F231D6" w:rsidRPr="00BF6073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kapacitāte</w:t>
            </w:r>
            <w:r w:rsidR="00B02B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kas neļāva</w:t>
            </w:r>
            <w:r w:rsidR="00F231D6" w:rsidRPr="005D505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02B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pastāvīgi nodrošināt pilnvērtīgu </w:t>
            </w:r>
            <w:r w:rsidR="00F231D6" w:rsidRPr="005D505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konsultatīvo atbalstu vis</w:t>
            </w:r>
            <w:r w:rsidR="00B02B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ā</w:t>
            </w:r>
            <w:r w:rsidR="00F231D6" w:rsidRPr="005D505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</w:t>
            </w:r>
            <w:r w:rsidR="00B02B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B02B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nediskriminācijas</w:t>
            </w:r>
            <w:proofErr w:type="spellEnd"/>
            <w:r w:rsidR="00B02B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jomās</w:t>
            </w:r>
            <w:r w:rsidR="00F231D6" w:rsidRPr="005D505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valsts mērogā. Turklāt jau </w:t>
            </w:r>
            <w:proofErr w:type="spellStart"/>
            <w:r w:rsidR="00FF22D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v</w:t>
            </w:r>
            <w:r w:rsidR="00F231D6" w:rsidRPr="005D505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idusposma</w:t>
            </w:r>
            <w:proofErr w:type="spellEnd"/>
            <w:r w:rsidR="00F231D6" w:rsidRPr="005D505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F231D6" w:rsidRPr="005D505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izvērtējumā</w:t>
            </w:r>
            <w:proofErr w:type="spellEnd"/>
            <w:r w:rsidR="00F231D6" w:rsidRPr="005D505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231D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(2018.</w:t>
            </w:r>
            <w:r w:rsidR="00FF22D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231D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g</w:t>
            </w:r>
            <w:r w:rsidR="00FF22D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adā</w:t>
            </w:r>
            <w:r w:rsidR="00F231D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) </w:t>
            </w:r>
            <w:r w:rsidR="00F231D6" w:rsidRPr="005D505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kā problēma tika identificēta nepietiekams finanšu resursu nodrošinājums LM kā koordinējošai institūcijai informatīvā atbalsta sniegšanai </w:t>
            </w:r>
            <w:r w:rsidR="00BB286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ES fondu vadībā un īstenošanā iesaistītajiem.</w:t>
            </w:r>
          </w:p>
        </w:tc>
        <w:tc>
          <w:tcPr>
            <w:tcW w:w="3827" w:type="dxa"/>
          </w:tcPr>
          <w:p w14:paraId="3AA02C93" w14:textId="785DC2E0" w:rsidR="00F231D6" w:rsidRPr="005D505F" w:rsidRDefault="00F231D6" w:rsidP="005D505F">
            <w:pPr>
              <w:spacing w:before="240" w:after="24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D505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Stiprināt LM kā par HP koordināciju atbildīgās institūcijas kapacitāti, piešķirot atbilstošu budžetu un cilvēkresursus, lai palielinātu apjomu darbībām, kuru mērķis ir veicināt izpratni par vienlīdzīgām iespējām un </w:t>
            </w:r>
            <w:proofErr w:type="spellStart"/>
            <w:r w:rsidR="00BB286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nediskrimināciju</w:t>
            </w:r>
            <w:proofErr w:type="spellEnd"/>
            <w:r w:rsidRPr="005D505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gan finansējuma saņēmējiem, gan </w:t>
            </w:r>
            <w:r w:rsidR="00BB286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ES fondu vadībā un īstenošanā iesaistītajiem</w:t>
            </w:r>
            <w:r w:rsidRPr="005D505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gan sabiedrīb</w:t>
            </w:r>
            <w:r w:rsidR="00FF22D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ai</w:t>
            </w:r>
            <w:r w:rsidRPr="005D505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kopumā, kā arī veicināt un atbalstīt šo principu ievērošanu projektu izstrādē un īstenošanā.</w:t>
            </w:r>
          </w:p>
          <w:p w14:paraId="2DDAD813" w14:textId="2CDF85E5" w:rsidR="00F231D6" w:rsidRPr="005D505F" w:rsidRDefault="00F231D6" w:rsidP="007E6136">
            <w:pPr>
              <w:spacing w:before="240" w:after="24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FA00E1E" w14:textId="77777777" w:rsidR="00F231D6" w:rsidRPr="005D505F" w:rsidRDefault="00F231D6" w:rsidP="005D505F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7A4A7E18" w14:textId="77777777" w:rsidR="00F231D6" w:rsidRPr="005D505F" w:rsidRDefault="00F231D6" w:rsidP="005D505F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D505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Tehnisks</w:t>
            </w:r>
          </w:p>
          <w:p w14:paraId="16D45FD3" w14:textId="77777777" w:rsidR="00F231D6" w:rsidRPr="005D505F" w:rsidRDefault="00F231D6" w:rsidP="005D505F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D505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Stratēģisks</w:t>
            </w:r>
          </w:p>
        </w:tc>
        <w:tc>
          <w:tcPr>
            <w:tcW w:w="1418" w:type="dxa"/>
          </w:tcPr>
          <w:p w14:paraId="6C6CD3ED" w14:textId="77777777" w:rsidR="00F231D6" w:rsidRPr="005D505F" w:rsidRDefault="00F231D6" w:rsidP="005D505F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260B26BB" w14:textId="1620615C" w:rsidR="00F231D6" w:rsidRPr="005D505F" w:rsidRDefault="00D563F1" w:rsidP="005D505F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VI</w:t>
            </w:r>
          </w:p>
          <w:p w14:paraId="14D9A2B0" w14:textId="77777777" w:rsidR="00F231D6" w:rsidRPr="005D505F" w:rsidRDefault="00F231D6" w:rsidP="005D505F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D505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LM</w:t>
            </w:r>
          </w:p>
        </w:tc>
        <w:tc>
          <w:tcPr>
            <w:tcW w:w="3827" w:type="dxa"/>
          </w:tcPr>
          <w:p w14:paraId="1B80C316" w14:textId="77777777" w:rsidR="00815E60" w:rsidRDefault="00815E60" w:rsidP="005D505F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096079CE" w14:textId="368762CA" w:rsidR="00F231D6" w:rsidRPr="005D505F" w:rsidRDefault="00953038" w:rsidP="005D505F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5303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Rekomendācija tiek īstenota ES fondu 2021.</w:t>
            </w:r>
            <w:r w:rsidR="00FF22D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–</w:t>
            </w:r>
            <w:r w:rsidRPr="0095303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2027.</w:t>
            </w:r>
            <w:r w:rsidR="00FF22D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gada</w:t>
            </w:r>
            <w:r w:rsidRPr="0095303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plānošanas periodā</w:t>
            </w:r>
            <w:r w:rsidR="001820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palielinot </w:t>
            </w:r>
            <w:r w:rsidR="00815E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finanšu apjomu cilvēkresursiem HP koordinēšanai</w:t>
            </w:r>
            <w:r w:rsidR="00654A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un </w:t>
            </w:r>
            <w:r w:rsidR="00F66B0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F6A2C" w:rsidRPr="009F6A2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jau piešķirtā Eiropas Savienības kohēzijas politikas programmas </w:t>
            </w:r>
            <w:r w:rsidR="009F6A2C" w:rsidRPr="009F6A2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2021.–2027. gadam (turpmāk – Programma) finansējuma ietvaros un papildu Programmas finansējuma piesaiste netiek plānota</w:t>
            </w:r>
            <w:r w:rsidR="009F6A2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</w:tbl>
    <w:p w14:paraId="36EC55F1" w14:textId="23A9CAC1" w:rsidR="005D505F" w:rsidRDefault="005D505F"/>
    <w:p w14:paraId="539A6F0F" w14:textId="2EA0AC75" w:rsidR="00E3385E" w:rsidRDefault="00E3385E"/>
    <w:p w14:paraId="6504C46A" w14:textId="77777777" w:rsidR="001F1D91" w:rsidRDefault="001F1D91"/>
    <w:sectPr w:rsidR="001F1D91" w:rsidSect="00441D11">
      <w:footerReference w:type="default" r:id="rId9"/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5638D8" w14:textId="77777777" w:rsidR="00985C99" w:rsidRDefault="00985C99" w:rsidP="00985C99">
      <w:pPr>
        <w:spacing w:after="0" w:line="240" w:lineRule="auto"/>
      </w:pPr>
      <w:r>
        <w:separator/>
      </w:r>
    </w:p>
  </w:endnote>
  <w:endnote w:type="continuationSeparator" w:id="0">
    <w:p w14:paraId="22BDF9BC" w14:textId="77777777" w:rsidR="00985C99" w:rsidRDefault="00985C99" w:rsidP="00985C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37755169"/>
      <w:docPartObj>
        <w:docPartGallery w:val="Page Numbers (Bottom of Page)"/>
        <w:docPartUnique/>
      </w:docPartObj>
    </w:sdtPr>
    <w:sdtEndPr/>
    <w:sdtContent>
      <w:p w14:paraId="53330BE7" w14:textId="3DFFC541" w:rsidR="00985C99" w:rsidRDefault="00985C99">
        <w:pPr>
          <w:pStyle w:val="Kjen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B2EF69C" w14:textId="77777777" w:rsidR="00985C99" w:rsidRDefault="00985C99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2E9369" w14:textId="77777777" w:rsidR="00985C99" w:rsidRDefault="00985C99" w:rsidP="00985C99">
      <w:pPr>
        <w:spacing w:after="0" w:line="240" w:lineRule="auto"/>
      </w:pPr>
      <w:r>
        <w:separator/>
      </w:r>
    </w:p>
  </w:footnote>
  <w:footnote w:type="continuationSeparator" w:id="0">
    <w:p w14:paraId="5BABD2F4" w14:textId="77777777" w:rsidR="00985C99" w:rsidRDefault="00985C99" w:rsidP="00985C99">
      <w:pPr>
        <w:spacing w:after="0" w:line="240" w:lineRule="auto"/>
      </w:pPr>
      <w:r>
        <w:continuationSeparator/>
      </w:r>
    </w:p>
  </w:footnote>
  <w:footnote w:id="1">
    <w:p w14:paraId="49E5C5F7" w14:textId="23A7C6C5" w:rsidR="00BB2861" w:rsidRPr="00010A8C" w:rsidRDefault="00BB2861">
      <w:pPr>
        <w:pStyle w:val="Vresteksts"/>
        <w:rPr>
          <w:rFonts w:ascii="Times New Roman" w:hAnsi="Times New Roman" w:cs="Times New Roman"/>
          <w:lang w:val="en-GB"/>
        </w:rPr>
      </w:pPr>
      <w:r w:rsidRPr="00010A8C">
        <w:rPr>
          <w:rStyle w:val="Vresatsauce"/>
          <w:rFonts w:ascii="Times New Roman" w:hAnsi="Times New Roman" w:cs="Times New Roman"/>
        </w:rPr>
        <w:footnoteRef/>
      </w:r>
      <w:r w:rsidRPr="00010A8C">
        <w:rPr>
          <w:rFonts w:ascii="Times New Roman" w:hAnsi="Times New Roman" w:cs="Times New Roman"/>
        </w:rPr>
        <w:t xml:space="preserve"> </w:t>
      </w:r>
      <w:hyperlink r:id="rId1" w:history="1">
        <w:r w:rsidRPr="00010A8C">
          <w:rPr>
            <w:rStyle w:val="Hipersaite"/>
            <w:rFonts w:ascii="Times New Roman" w:hAnsi="Times New Roman" w:cs="Times New Roman"/>
          </w:rPr>
          <w:t>https://likumi.lv/ta/id/325944-ministru-kabineta-kartibas-rullis</w:t>
        </w:r>
      </w:hyperlink>
      <w:r w:rsidRPr="00010A8C">
        <w:rPr>
          <w:rFonts w:ascii="Times New Roman" w:hAnsi="Times New Roman" w:cs="Times New Roman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C672B"/>
    <w:multiLevelType w:val="hybridMultilevel"/>
    <w:tmpl w:val="75CECA1E"/>
    <w:lvl w:ilvl="0" w:tplc="8BD4AF1C">
      <w:start w:val="1"/>
      <w:numFmt w:val="decimal"/>
      <w:lvlText w:val="%1."/>
      <w:lvlJc w:val="left"/>
      <w:pPr>
        <w:ind w:left="720" w:hanging="360"/>
      </w:pPr>
      <w:rPr>
        <w:rFonts w:hint="default"/>
        <w:color w:val="C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FA2F70"/>
    <w:multiLevelType w:val="hybridMultilevel"/>
    <w:tmpl w:val="A59A928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5F4A1A"/>
    <w:multiLevelType w:val="hybridMultilevel"/>
    <w:tmpl w:val="8F3EA462"/>
    <w:lvl w:ilvl="0" w:tplc="18360DBE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82" w:hanging="360"/>
      </w:pPr>
    </w:lvl>
    <w:lvl w:ilvl="2" w:tplc="0426001B" w:tentative="1">
      <w:start w:val="1"/>
      <w:numFmt w:val="lowerRoman"/>
      <w:lvlText w:val="%3."/>
      <w:lvlJc w:val="right"/>
      <w:pPr>
        <w:ind w:left="1902" w:hanging="180"/>
      </w:pPr>
    </w:lvl>
    <w:lvl w:ilvl="3" w:tplc="0426000F" w:tentative="1">
      <w:start w:val="1"/>
      <w:numFmt w:val="decimal"/>
      <w:lvlText w:val="%4."/>
      <w:lvlJc w:val="left"/>
      <w:pPr>
        <w:ind w:left="2622" w:hanging="360"/>
      </w:pPr>
    </w:lvl>
    <w:lvl w:ilvl="4" w:tplc="04260019" w:tentative="1">
      <w:start w:val="1"/>
      <w:numFmt w:val="lowerLetter"/>
      <w:lvlText w:val="%5."/>
      <w:lvlJc w:val="left"/>
      <w:pPr>
        <w:ind w:left="3342" w:hanging="360"/>
      </w:pPr>
    </w:lvl>
    <w:lvl w:ilvl="5" w:tplc="0426001B" w:tentative="1">
      <w:start w:val="1"/>
      <w:numFmt w:val="lowerRoman"/>
      <w:lvlText w:val="%6."/>
      <w:lvlJc w:val="right"/>
      <w:pPr>
        <w:ind w:left="4062" w:hanging="180"/>
      </w:pPr>
    </w:lvl>
    <w:lvl w:ilvl="6" w:tplc="0426000F" w:tentative="1">
      <w:start w:val="1"/>
      <w:numFmt w:val="decimal"/>
      <w:lvlText w:val="%7."/>
      <w:lvlJc w:val="left"/>
      <w:pPr>
        <w:ind w:left="4782" w:hanging="360"/>
      </w:pPr>
    </w:lvl>
    <w:lvl w:ilvl="7" w:tplc="04260019" w:tentative="1">
      <w:start w:val="1"/>
      <w:numFmt w:val="lowerLetter"/>
      <w:lvlText w:val="%8."/>
      <w:lvlJc w:val="left"/>
      <w:pPr>
        <w:ind w:left="5502" w:hanging="360"/>
      </w:pPr>
    </w:lvl>
    <w:lvl w:ilvl="8" w:tplc="0426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3" w15:restartNumberingAfterBreak="0">
    <w:nsid w:val="6C40152B"/>
    <w:multiLevelType w:val="hybridMultilevel"/>
    <w:tmpl w:val="2BC803D2"/>
    <w:lvl w:ilvl="0" w:tplc="A63E27CC">
      <w:start w:val="1"/>
      <w:numFmt w:val="lowerLetter"/>
      <w:lvlText w:val="%1)"/>
      <w:lvlJc w:val="left"/>
      <w:pPr>
        <w:ind w:left="790" w:hanging="43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2049AD"/>
    <w:multiLevelType w:val="hybridMultilevel"/>
    <w:tmpl w:val="D57442DC"/>
    <w:lvl w:ilvl="0" w:tplc="F7041364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1D11"/>
    <w:rsid w:val="00010A8C"/>
    <w:rsid w:val="00013B28"/>
    <w:rsid w:val="000347DD"/>
    <w:rsid w:val="00071E1F"/>
    <w:rsid w:val="0008169B"/>
    <w:rsid w:val="00087918"/>
    <w:rsid w:val="00094F4C"/>
    <w:rsid w:val="000B22EC"/>
    <w:rsid w:val="000B271A"/>
    <w:rsid w:val="000D02F4"/>
    <w:rsid w:val="000D3861"/>
    <w:rsid w:val="000F2FDF"/>
    <w:rsid w:val="001075DD"/>
    <w:rsid w:val="00117480"/>
    <w:rsid w:val="0012345E"/>
    <w:rsid w:val="00147C1C"/>
    <w:rsid w:val="0018207F"/>
    <w:rsid w:val="001942F5"/>
    <w:rsid w:val="00194463"/>
    <w:rsid w:val="001A1EF8"/>
    <w:rsid w:val="001A3EF6"/>
    <w:rsid w:val="001B7C62"/>
    <w:rsid w:val="001B7E9B"/>
    <w:rsid w:val="001C5AEB"/>
    <w:rsid w:val="001C5F0E"/>
    <w:rsid w:val="001F1D91"/>
    <w:rsid w:val="002425C3"/>
    <w:rsid w:val="0024526E"/>
    <w:rsid w:val="00271231"/>
    <w:rsid w:val="0027414E"/>
    <w:rsid w:val="00277945"/>
    <w:rsid w:val="002852D5"/>
    <w:rsid w:val="00285F35"/>
    <w:rsid w:val="0029572A"/>
    <w:rsid w:val="002969AB"/>
    <w:rsid w:val="002B1B18"/>
    <w:rsid w:val="002D7623"/>
    <w:rsid w:val="002F0ACB"/>
    <w:rsid w:val="002F1200"/>
    <w:rsid w:val="003023F9"/>
    <w:rsid w:val="00314804"/>
    <w:rsid w:val="00331B04"/>
    <w:rsid w:val="00332A06"/>
    <w:rsid w:val="00342CE4"/>
    <w:rsid w:val="0034713A"/>
    <w:rsid w:val="003560CA"/>
    <w:rsid w:val="00361594"/>
    <w:rsid w:val="00384990"/>
    <w:rsid w:val="003914AF"/>
    <w:rsid w:val="003920E8"/>
    <w:rsid w:val="003A509F"/>
    <w:rsid w:val="003B21FC"/>
    <w:rsid w:val="003B2634"/>
    <w:rsid w:val="003B6285"/>
    <w:rsid w:val="003C251C"/>
    <w:rsid w:val="003D3299"/>
    <w:rsid w:val="003D7DDE"/>
    <w:rsid w:val="003E5D96"/>
    <w:rsid w:val="003E6DA1"/>
    <w:rsid w:val="003F417B"/>
    <w:rsid w:val="00425055"/>
    <w:rsid w:val="0042553A"/>
    <w:rsid w:val="00430B1A"/>
    <w:rsid w:val="00441D11"/>
    <w:rsid w:val="004440D4"/>
    <w:rsid w:val="00450C6F"/>
    <w:rsid w:val="00452CC6"/>
    <w:rsid w:val="004718BA"/>
    <w:rsid w:val="0048660A"/>
    <w:rsid w:val="004D1F1B"/>
    <w:rsid w:val="004E3450"/>
    <w:rsid w:val="004E48FD"/>
    <w:rsid w:val="005026C5"/>
    <w:rsid w:val="005875C9"/>
    <w:rsid w:val="00591904"/>
    <w:rsid w:val="005D016B"/>
    <w:rsid w:val="005D4664"/>
    <w:rsid w:val="005D505F"/>
    <w:rsid w:val="005F1C0A"/>
    <w:rsid w:val="005F4A52"/>
    <w:rsid w:val="00626692"/>
    <w:rsid w:val="00645D96"/>
    <w:rsid w:val="00651A95"/>
    <w:rsid w:val="00654A51"/>
    <w:rsid w:val="00655980"/>
    <w:rsid w:val="00657D7F"/>
    <w:rsid w:val="00672666"/>
    <w:rsid w:val="00686A5D"/>
    <w:rsid w:val="00691FBA"/>
    <w:rsid w:val="006B31D2"/>
    <w:rsid w:val="006B7C43"/>
    <w:rsid w:val="006D0D9B"/>
    <w:rsid w:val="006D4214"/>
    <w:rsid w:val="006E3632"/>
    <w:rsid w:val="00701808"/>
    <w:rsid w:val="00705699"/>
    <w:rsid w:val="0070674D"/>
    <w:rsid w:val="007436FA"/>
    <w:rsid w:val="007530E2"/>
    <w:rsid w:val="00766E15"/>
    <w:rsid w:val="00790F84"/>
    <w:rsid w:val="007B7042"/>
    <w:rsid w:val="007C3761"/>
    <w:rsid w:val="007C5D2F"/>
    <w:rsid w:val="007C7A9F"/>
    <w:rsid w:val="007D039A"/>
    <w:rsid w:val="007E597A"/>
    <w:rsid w:val="007E6136"/>
    <w:rsid w:val="007F1DB0"/>
    <w:rsid w:val="008012EC"/>
    <w:rsid w:val="0080332D"/>
    <w:rsid w:val="00804001"/>
    <w:rsid w:val="00815E60"/>
    <w:rsid w:val="0083216C"/>
    <w:rsid w:val="0085507A"/>
    <w:rsid w:val="00867D7C"/>
    <w:rsid w:val="008828C3"/>
    <w:rsid w:val="008A670B"/>
    <w:rsid w:val="008C5D09"/>
    <w:rsid w:val="008F70D5"/>
    <w:rsid w:val="00900A13"/>
    <w:rsid w:val="00911F65"/>
    <w:rsid w:val="0091602B"/>
    <w:rsid w:val="00937655"/>
    <w:rsid w:val="00953038"/>
    <w:rsid w:val="00956442"/>
    <w:rsid w:val="00960B6A"/>
    <w:rsid w:val="00974A2E"/>
    <w:rsid w:val="00985C99"/>
    <w:rsid w:val="00986170"/>
    <w:rsid w:val="009B01E5"/>
    <w:rsid w:val="009B1C1B"/>
    <w:rsid w:val="009D4E92"/>
    <w:rsid w:val="009D7E41"/>
    <w:rsid w:val="009D7F1B"/>
    <w:rsid w:val="009F6A2C"/>
    <w:rsid w:val="00A1324A"/>
    <w:rsid w:val="00A26629"/>
    <w:rsid w:val="00A33000"/>
    <w:rsid w:val="00A34759"/>
    <w:rsid w:val="00A76936"/>
    <w:rsid w:val="00AB2EFC"/>
    <w:rsid w:val="00AB366A"/>
    <w:rsid w:val="00AB4976"/>
    <w:rsid w:val="00AC79C3"/>
    <w:rsid w:val="00B02B62"/>
    <w:rsid w:val="00B02BC1"/>
    <w:rsid w:val="00B31357"/>
    <w:rsid w:val="00B4050B"/>
    <w:rsid w:val="00B44963"/>
    <w:rsid w:val="00B46C52"/>
    <w:rsid w:val="00B521CA"/>
    <w:rsid w:val="00B67120"/>
    <w:rsid w:val="00B75ACB"/>
    <w:rsid w:val="00B8274C"/>
    <w:rsid w:val="00BA705E"/>
    <w:rsid w:val="00BB2861"/>
    <w:rsid w:val="00BC1193"/>
    <w:rsid w:val="00BC6DDB"/>
    <w:rsid w:val="00BD5543"/>
    <w:rsid w:val="00BF5FF4"/>
    <w:rsid w:val="00BF6073"/>
    <w:rsid w:val="00C02A3D"/>
    <w:rsid w:val="00C34EDA"/>
    <w:rsid w:val="00C41508"/>
    <w:rsid w:val="00C4465D"/>
    <w:rsid w:val="00C46947"/>
    <w:rsid w:val="00C51E97"/>
    <w:rsid w:val="00C61844"/>
    <w:rsid w:val="00C74818"/>
    <w:rsid w:val="00C761F3"/>
    <w:rsid w:val="00C803FD"/>
    <w:rsid w:val="00C8484F"/>
    <w:rsid w:val="00C951D3"/>
    <w:rsid w:val="00CA114A"/>
    <w:rsid w:val="00CA5256"/>
    <w:rsid w:val="00CB0E3D"/>
    <w:rsid w:val="00CD4391"/>
    <w:rsid w:val="00CD6B93"/>
    <w:rsid w:val="00D06377"/>
    <w:rsid w:val="00D16A9E"/>
    <w:rsid w:val="00D22865"/>
    <w:rsid w:val="00D43834"/>
    <w:rsid w:val="00D563F1"/>
    <w:rsid w:val="00D61C07"/>
    <w:rsid w:val="00D72A61"/>
    <w:rsid w:val="00DA2D19"/>
    <w:rsid w:val="00DC6413"/>
    <w:rsid w:val="00E107F4"/>
    <w:rsid w:val="00E252C5"/>
    <w:rsid w:val="00E3385E"/>
    <w:rsid w:val="00E51905"/>
    <w:rsid w:val="00E6214D"/>
    <w:rsid w:val="00E66FFA"/>
    <w:rsid w:val="00E702AF"/>
    <w:rsid w:val="00E87514"/>
    <w:rsid w:val="00E90195"/>
    <w:rsid w:val="00EC24AC"/>
    <w:rsid w:val="00EC4616"/>
    <w:rsid w:val="00F231D6"/>
    <w:rsid w:val="00F5611E"/>
    <w:rsid w:val="00F56130"/>
    <w:rsid w:val="00F66B00"/>
    <w:rsid w:val="00FA6F6E"/>
    <w:rsid w:val="00FB170A"/>
    <w:rsid w:val="00FB6541"/>
    <w:rsid w:val="00FC5964"/>
    <w:rsid w:val="00FF198A"/>
    <w:rsid w:val="00FF22D2"/>
    <w:rsid w:val="00FF5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5DBABD4"/>
  <w15:chartTrackingRefBased/>
  <w15:docId w15:val="{520EBA7F-E0E3-4FE1-AA19-B54336E63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</w:style>
  <w:style w:type="paragraph" w:styleId="Virsraksts1">
    <w:name w:val="heading 1"/>
    <w:basedOn w:val="Parasts"/>
    <w:link w:val="Virsraksts1Rakstz"/>
    <w:uiPriority w:val="9"/>
    <w:qFormat/>
    <w:rsid w:val="00DC641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E3385E"/>
    <w:pPr>
      <w:spacing w:line="240" w:lineRule="auto"/>
    </w:pPr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E3385E"/>
    <w:rPr>
      <w:sz w:val="20"/>
      <w:szCs w:val="20"/>
    </w:rPr>
  </w:style>
  <w:style w:type="character" w:styleId="Komentraatsauce">
    <w:name w:val="annotation reference"/>
    <w:basedOn w:val="Noklusjumarindkopasfonts"/>
    <w:uiPriority w:val="99"/>
    <w:semiHidden/>
    <w:unhideWhenUsed/>
    <w:rsid w:val="00E3385E"/>
    <w:rPr>
      <w:sz w:val="16"/>
      <w:szCs w:val="16"/>
    </w:rPr>
  </w:style>
  <w:style w:type="table" w:styleId="Reatabula">
    <w:name w:val="Table Grid"/>
    <w:aliases w:val="Regular table"/>
    <w:basedOn w:val="Parastatabula"/>
    <w:uiPriority w:val="39"/>
    <w:rsid w:val="00E338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alvene">
    <w:name w:val="header"/>
    <w:basedOn w:val="Parasts"/>
    <w:link w:val="GalveneRakstz"/>
    <w:uiPriority w:val="99"/>
    <w:unhideWhenUsed/>
    <w:rsid w:val="00985C9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985C99"/>
  </w:style>
  <w:style w:type="paragraph" w:styleId="Kjene">
    <w:name w:val="footer"/>
    <w:basedOn w:val="Parasts"/>
    <w:link w:val="KjeneRakstz"/>
    <w:uiPriority w:val="99"/>
    <w:unhideWhenUsed/>
    <w:rsid w:val="00985C9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985C99"/>
  </w:style>
  <w:style w:type="character" w:customStyle="1" w:styleId="normaltextrun">
    <w:name w:val="normaltextrun"/>
    <w:basedOn w:val="Noklusjumarindkopasfonts"/>
    <w:rsid w:val="0034713A"/>
  </w:style>
  <w:style w:type="character" w:customStyle="1" w:styleId="eop">
    <w:name w:val="eop"/>
    <w:basedOn w:val="Noklusjumarindkopasfonts"/>
    <w:rsid w:val="0034713A"/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B46C52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B46C52"/>
    <w:rPr>
      <w:b/>
      <w:bCs/>
      <w:sz w:val="20"/>
      <w:szCs w:val="20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B46C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B46C52"/>
    <w:rPr>
      <w:rFonts w:ascii="Segoe UI" w:hAnsi="Segoe UI" w:cs="Segoe UI"/>
      <w:sz w:val="18"/>
      <w:szCs w:val="18"/>
    </w:rPr>
  </w:style>
  <w:style w:type="paragraph" w:styleId="Sarakstarindkopa">
    <w:name w:val="List Paragraph"/>
    <w:basedOn w:val="Parasts"/>
    <w:uiPriority w:val="34"/>
    <w:qFormat/>
    <w:rsid w:val="00E6214D"/>
    <w:pPr>
      <w:ind w:left="720"/>
      <w:contextualSpacing/>
    </w:pPr>
  </w:style>
  <w:style w:type="character" w:customStyle="1" w:styleId="Virsraksts1Rakstz">
    <w:name w:val="Virsraksts 1 Rakstz."/>
    <w:basedOn w:val="Noklusjumarindkopasfonts"/>
    <w:link w:val="Virsraksts1"/>
    <w:uiPriority w:val="9"/>
    <w:rsid w:val="00DC6413"/>
    <w:rPr>
      <w:rFonts w:ascii="Times New Roman" w:eastAsia="Times New Roman" w:hAnsi="Times New Roman" w:cs="Times New Roman"/>
      <w:b/>
      <w:bCs/>
      <w:kern w:val="36"/>
      <w:sz w:val="48"/>
      <w:szCs w:val="48"/>
      <w:lang w:eastAsia="lv-LV"/>
    </w:rPr>
  </w:style>
  <w:style w:type="character" w:styleId="Hipersaite">
    <w:name w:val="Hyperlink"/>
    <w:basedOn w:val="Noklusjumarindkopasfonts"/>
    <w:uiPriority w:val="99"/>
    <w:unhideWhenUsed/>
    <w:rsid w:val="00C51E97"/>
    <w:rPr>
      <w:color w:val="0563C1" w:themeColor="hyperlink"/>
      <w:u w:val="single"/>
    </w:rPr>
  </w:style>
  <w:style w:type="character" w:styleId="Neatrisintapieminana">
    <w:name w:val="Unresolved Mention"/>
    <w:basedOn w:val="Noklusjumarindkopasfonts"/>
    <w:uiPriority w:val="99"/>
    <w:semiHidden/>
    <w:unhideWhenUsed/>
    <w:rsid w:val="00C51E97"/>
    <w:rPr>
      <w:color w:val="605E5C"/>
      <w:shd w:val="clear" w:color="auto" w:fill="E1DFDD"/>
    </w:rPr>
  </w:style>
  <w:style w:type="paragraph" w:styleId="Vresteksts">
    <w:name w:val="footnote text"/>
    <w:basedOn w:val="Parasts"/>
    <w:link w:val="VrestekstsRakstz"/>
    <w:uiPriority w:val="99"/>
    <w:semiHidden/>
    <w:unhideWhenUsed/>
    <w:rsid w:val="00BB2861"/>
    <w:pPr>
      <w:spacing w:after="0" w:line="240" w:lineRule="auto"/>
    </w:pPr>
    <w:rPr>
      <w:sz w:val="20"/>
      <w:szCs w:val="20"/>
    </w:rPr>
  </w:style>
  <w:style w:type="character" w:customStyle="1" w:styleId="VrestekstsRakstz">
    <w:name w:val="Vēres teksts Rakstz."/>
    <w:basedOn w:val="Noklusjumarindkopasfonts"/>
    <w:link w:val="Vresteksts"/>
    <w:uiPriority w:val="99"/>
    <w:semiHidden/>
    <w:rsid w:val="00BB2861"/>
    <w:rPr>
      <w:sz w:val="20"/>
      <w:szCs w:val="20"/>
    </w:rPr>
  </w:style>
  <w:style w:type="character" w:styleId="Vresatsauce">
    <w:name w:val="footnote reference"/>
    <w:basedOn w:val="Noklusjumarindkopasfonts"/>
    <w:uiPriority w:val="99"/>
    <w:semiHidden/>
    <w:unhideWhenUsed/>
    <w:rsid w:val="00BB286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232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m.gov.lv/lv/par-horizontalo-princip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lm.gov.lv/lv/vides-un-informacijas-pieklustamib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likumi.lv/ta/id/325944-ministru-kabineta-kartibas-rullis" TargetMode="Externa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6514</Words>
  <Characters>3713</Characters>
  <Application>Microsoft Office Word</Application>
  <DocSecurity>0</DocSecurity>
  <Lines>30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LRLM</Company>
  <LinksUpToDate>false</LinksUpToDate>
  <CharactersWithSpaces>10207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Inese Vilcāne</dc:creator>
  <cp:keywords/>
  <dc:description/>
  <cp:lastModifiedBy>Inese Vilcāne</cp:lastModifiedBy>
  <cp:revision>8</cp:revision>
  <dcterms:created xsi:type="dcterms:W3CDTF">2025-09-30T12:16:00Z</dcterms:created>
  <dcterms:modified xsi:type="dcterms:W3CDTF">2025-10-14T11:19:00Z</dcterms:modified>
</cp:coreProperties>
</file>